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C3" w:rsidRPr="00AA028E" w:rsidRDefault="0092489B" w:rsidP="009330C3">
      <w:pPr>
        <w:ind w:firstLine="709"/>
        <w:jc w:val="center"/>
        <w:rPr>
          <w:rFonts w:ascii="Arial" w:hAnsi="Arial" w:cs="Arial"/>
          <w:b/>
        </w:rPr>
      </w:pPr>
      <w:r w:rsidRPr="00AA028E">
        <w:rPr>
          <w:rFonts w:ascii="Arial" w:hAnsi="Arial" w:cs="Arial"/>
          <w:b/>
        </w:rPr>
        <w:t>Горбатовский сельский Совет</w:t>
      </w:r>
    </w:p>
    <w:p w:rsidR="0092489B" w:rsidRPr="00AA028E" w:rsidRDefault="0092489B" w:rsidP="009330C3">
      <w:pPr>
        <w:ind w:firstLine="709"/>
        <w:jc w:val="center"/>
        <w:rPr>
          <w:rFonts w:ascii="Arial" w:hAnsi="Arial" w:cs="Arial"/>
          <w:b/>
        </w:rPr>
      </w:pPr>
      <w:r w:rsidRPr="00AA028E">
        <w:rPr>
          <w:rFonts w:ascii="Arial" w:hAnsi="Arial" w:cs="Arial"/>
          <w:b/>
        </w:rPr>
        <w:t>Серафимовичского муниципального района</w:t>
      </w:r>
    </w:p>
    <w:p w:rsidR="0092489B" w:rsidRPr="00AA028E" w:rsidRDefault="0092489B" w:rsidP="009330C3">
      <w:pPr>
        <w:ind w:firstLine="709"/>
        <w:jc w:val="center"/>
        <w:rPr>
          <w:rFonts w:ascii="Arial" w:hAnsi="Arial" w:cs="Arial"/>
          <w:b/>
        </w:rPr>
      </w:pPr>
      <w:r w:rsidRPr="00AA028E">
        <w:rPr>
          <w:rFonts w:ascii="Arial" w:hAnsi="Arial" w:cs="Arial"/>
          <w:b/>
        </w:rPr>
        <w:t>Волгоградской области</w:t>
      </w:r>
    </w:p>
    <w:p w:rsidR="0092489B" w:rsidRPr="00AA028E" w:rsidRDefault="0092489B" w:rsidP="0092489B">
      <w:pPr>
        <w:rPr>
          <w:rFonts w:ascii="Arial" w:hAnsi="Arial" w:cs="Arial"/>
          <w:b/>
        </w:rPr>
      </w:pPr>
    </w:p>
    <w:p w:rsidR="009330C3" w:rsidRPr="00AA028E" w:rsidRDefault="009330C3" w:rsidP="0092489B">
      <w:pPr>
        <w:jc w:val="center"/>
        <w:rPr>
          <w:rFonts w:ascii="Arial" w:hAnsi="Arial" w:cs="Arial"/>
          <w:b/>
          <w:u w:val="single"/>
        </w:rPr>
      </w:pPr>
      <w:r w:rsidRPr="00AA028E">
        <w:rPr>
          <w:rFonts w:ascii="Arial" w:hAnsi="Arial" w:cs="Arial"/>
          <w:b/>
        </w:rPr>
        <w:t>РЕШЕНИЕ</w:t>
      </w:r>
    </w:p>
    <w:p w:rsidR="009330C3" w:rsidRPr="00AA028E" w:rsidRDefault="009330C3" w:rsidP="009330C3">
      <w:pPr>
        <w:ind w:firstLine="709"/>
        <w:jc w:val="center"/>
        <w:rPr>
          <w:rFonts w:ascii="Arial" w:hAnsi="Arial" w:cs="Arial"/>
          <w:i/>
          <w:u w:val="single"/>
        </w:rPr>
      </w:pPr>
    </w:p>
    <w:p w:rsidR="009330C3" w:rsidRPr="00AA028E" w:rsidRDefault="009330C3" w:rsidP="009330C3">
      <w:pPr>
        <w:ind w:firstLine="709"/>
        <w:jc w:val="center"/>
        <w:rPr>
          <w:rFonts w:ascii="Arial" w:hAnsi="Arial" w:cs="Arial"/>
          <w:i/>
        </w:rPr>
      </w:pPr>
    </w:p>
    <w:p w:rsidR="009330C3" w:rsidRPr="00AA028E" w:rsidRDefault="009330C3" w:rsidP="009330C3">
      <w:pPr>
        <w:jc w:val="center"/>
        <w:rPr>
          <w:rFonts w:ascii="Arial" w:hAnsi="Arial" w:cs="Arial"/>
          <w:i/>
        </w:rPr>
      </w:pPr>
      <w:r w:rsidRPr="00AA028E">
        <w:rPr>
          <w:rFonts w:ascii="Arial" w:hAnsi="Arial" w:cs="Arial"/>
        </w:rPr>
        <w:t>от «</w:t>
      </w:r>
      <w:r w:rsidR="00171CBE">
        <w:rPr>
          <w:rFonts w:ascii="Arial" w:hAnsi="Arial" w:cs="Arial"/>
          <w:color w:val="000000"/>
        </w:rPr>
        <w:t xml:space="preserve">01» июня </w:t>
      </w:r>
      <w:r w:rsidR="0092489B" w:rsidRPr="00AA028E">
        <w:rPr>
          <w:rFonts w:ascii="Arial" w:hAnsi="Arial" w:cs="Arial"/>
          <w:color w:val="000000"/>
        </w:rPr>
        <w:t xml:space="preserve"> </w:t>
      </w:r>
      <w:r w:rsidRPr="00AA028E">
        <w:rPr>
          <w:rFonts w:ascii="Arial" w:hAnsi="Arial" w:cs="Arial"/>
          <w:color w:val="000000"/>
        </w:rPr>
        <w:t xml:space="preserve"> </w:t>
      </w:r>
      <w:r w:rsidR="0092489B" w:rsidRPr="00AA028E">
        <w:rPr>
          <w:rFonts w:ascii="Arial" w:hAnsi="Arial" w:cs="Arial"/>
          <w:color w:val="000000"/>
          <w:spacing w:val="7"/>
        </w:rPr>
        <w:t xml:space="preserve">2021 </w:t>
      </w:r>
      <w:r w:rsidRPr="00AA028E">
        <w:rPr>
          <w:rFonts w:ascii="Arial" w:hAnsi="Arial" w:cs="Arial"/>
          <w:color w:val="000000"/>
          <w:spacing w:val="7"/>
        </w:rPr>
        <w:t xml:space="preserve">г.                        </w:t>
      </w:r>
      <w:r w:rsidR="00171CBE">
        <w:rPr>
          <w:rFonts w:ascii="Arial" w:hAnsi="Arial" w:cs="Arial"/>
          <w:color w:val="000000"/>
          <w:spacing w:val="7"/>
        </w:rPr>
        <w:t xml:space="preserve">                  </w:t>
      </w:r>
      <w:r w:rsidRPr="00AA028E">
        <w:rPr>
          <w:rFonts w:ascii="Arial" w:hAnsi="Arial" w:cs="Arial"/>
          <w:color w:val="000000"/>
          <w:spacing w:val="7"/>
        </w:rPr>
        <w:t xml:space="preserve">          </w:t>
      </w:r>
      <w:r w:rsidR="00171CBE">
        <w:rPr>
          <w:rFonts w:ascii="Arial" w:hAnsi="Arial" w:cs="Arial"/>
          <w:color w:val="000000"/>
          <w:spacing w:val="7"/>
        </w:rPr>
        <w:t xml:space="preserve">                        № 12</w:t>
      </w:r>
    </w:p>
    <w:p w:rsidR="009330C3" w:rsidRPr="00AA028E" w:rsidRDefault="009330C3" w:rsidP="009330C3">
      <w:pPr>
        <w:jc w:val="center"/>
        <w:rPr>
          <w:rFonts w:ascii="Arial" w:hAnsi="Arial" w:cs="Arial"/>
          <w:i/>
        </w:rPr>
      </w:pPr>
    </w:p>
    <w:p w:rsidR="009330C3" w:rsidRDefault="009330C3" w:rsidP="009330C3">
      <w:pPr>
        <w:widowControl w:val="0"/>
        <w:suppressAutoHyphens w:val="0"/>
        <w:rPr>
          <w:rFonts w:ascii="Arial" w:hAnsi="Arial" w:cs="Arial"/>
        </w:rPr>
      </w:pPr>
    </w:p>
    <w:p w:rsidR="00471852" w:rsidRDefault="00471852" w:rsidP="009330C3">
      <w:pPr>
        <w:widowControl w:val="0"/>
        <w:suppressAutoHyphens w:val="0"/>
        <w:rPr>
          <w:rFonts w:ascii="Arial" w:hAnsi="Arial" w:cs="Arial"/>
        </w:rPr>
      </w:pPr>
    </w:p>
    <w:p w:rsidR="00471852" w:rsidRDefault="00452CE5" w:rsidP="009330C3">
      <w:pPr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Об утверждении</w:t>
      </w:r>
      <w:r w:rsidR="00471852">
        <w:rPr>
          <w:rFonts w:ascii="Arial" w:hAnsi="Arial" w:cs="Arial"/>
        </w:rPr>
        <w:t xml:space="preserve"> Программы комплексного</w:t>
      </w:r>
    </w:p>
    <w:p w:rsidR="00471852" w:rsidRDefault="00471852" w:rsidP="009330C3">
      <w:pPr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развития систем коммунальной</w:t>
      </w:r>
    </w:p>
    <w:p w:rsidR="00471852" w:rsidRDefault="00471852" w:rsidP="009330C3">
      <w:pPr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инфраструктуры</w:t>
      </w:r>
      <w:r w:rsidR="00956663">
        <w:rPr>
          <w:rFonts w:ascii="Arial" w:hAnsi="Arial" w:cs="Arial"/>
        </w:rPr>
        <w:t xml:space="preserve"> Горбатовского сельского</w:t>
      </w:r>
    </w:p>
    <w:p w:rsidR="00956663" w:rsidRDefault="00956663" w:rsidP="009330C3">
      <w:pPr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поселения Серафимовичского муниципального</w:t>
      </w:r>
    </w:p>
    <w:p w:rsidR="00956663" w:rsidRPr="00AA028E" w:rsidRDefault="00956663" w:rsidP="009330C3">
      <w:pPr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района Волгоградской области на 2021-2024гг.</w:t>
      </w:r>
    </w:p>
    <w:p w:rsidR="009330C3" w:rsidRDefault="009330C3" w:rsidP="009330C3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b/>
        </w:rPr>
      </w:pPr>
    </w:p>
    <w:p w:rsidR="00171CBE" w:rsidRPr="00AA028E" w:rsidRDefault="00171CBE" w:rsidP="009330C3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:rsidR="009330C3" w:rsidRPr="00AA028E" w:rsidRDefault="00171CBE" w:rsidP="009330C3">
      <w:pPr>
        <w:widowControl w:val="0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основани</w:t>
      </w:r>
      <w:r w:rsidR="00471852">
        <w:rPr>
          <w:rFonts w:ascii="Arial" w:hAnsi="Arial" w:cs="Arial"/>
        </w:rPr>
        <w:t xml:space="preserve">и </w:t>
      </w:r>
      <w:r w:rsidR="00452CE5">
        <w:rPr>
          <w:rFonts w:ascii="Arial" w:hAnsi="Arial" w:cs="Arial"/>
        </w:rPr>
        <w:t xml:space="preserve">действующего </w:t>
      </w:r>
      <w:r w:rsidR="00471852">
        <w:rPr>
          <w:rFonts w:ascii="Arial" w:hAnsi="Arial" w:cs="Arial"/>
        </w:rPr>
        <w:t>Г</w:t>
      </w:r>
      <w:r>
        <w:rPr>
          <w:rFonts w:ascii="Arial" w:hAnsi="Arial" w:cs="Arial"/>
        </w:rPr>
        <w:t>енерального плана</w:t>
      </w:r>
      <w:r w:rsidR="00471852">
        <w:rPr>
          <w:rFonts w:ascii="Arial" w:hAnsi="Arial" w:cs="Arial"/>
        </w:rPr>
        <w:t xml:space="preserve"> Горбатовского сельского поселения Серафимовичского муниципального района</w:t>
      </w:r>
      <w:r w:rsidR="00452CE5">
        <w:rPr>
          <w:rFonts w:ascii="Arial" w:hAnsi="Arial" w:cs="Arial"/>
        </w:rPr>
        <w:t xml:space="preserve"> Волгоградской </w:t>
      </w:r>
      <w:proofErr w:type="gramStart"/>
      <w:r w:rsidR="00452CE5">
        <w:rPr>
          <w:rFonts w:ascii="Arial" w:hAnsi="Arial" w:cs="Arial"/>
        </w:rPr>
        <w:t xml:space="preserve">области </w:t>
      </w:r>
      <w:r w:rsidR="00680823" w:rsidRPr="00AA028E">
        <w:rPr>
          <w:rFonts w:ascii="Arial" w:hAnsi="Arial" w:cs="Arial"/>
        </w:rPr>
        <w:t xml:space="preserve"> Горбатовский</w:t>
      </w:r>
      <w:proofErr w:type="gramEnd"/>
      <w:r w:rsidR="00680823" w:rsidRPr="00AA028E">
        <w:rPr>
          <w:rFonts w:ascii="Arial" w:hAnsi="Arial" w:cs="Arial"/>
        </w:rPr>
        <w:t xml:space="preserve"> сельский Совет</w:t>
      </w:r>
      <w:r w:rsidR="009330C3" w:rsidRPr="00AA028E">
        <w:rPr>
          <w:rFonts w:ascii="Arial" w:hAnsi="Arial" w:cs="Arial"/>
          <w:spacing w:val="80"/>
        </w:rPr>
        <w:t xml:space="preserve"> </w:t>
      </w:r>
      <w:r w:rsidR="00680823" w:rsidRPr="00AA028E">
        <w:rPr>
          <w:rFonts w:ascii="Arial" w:hAnsi="Arial" w:cs="Arial"/>
          <w:spacing w:val="80"/>
        </w:rPr>
        <w:t>РЕШИЛ</w:t>
      </w:r>
      <w:r w:rsidR="009330C3" w:rsidRPr="00AA028E">
        <w:rPr>
          <w:rFonts w:ascii="Arial" w:hAnsi="Arial" w:cs="Arial"/>
        </w:rPr>
        <w:t>:</w:t>
      </w:r>
    </w:p>
    <w:p w:rsidR="009330C3" w:rsidRPr="00AA028E" w:rsidRDefault="009330C3" w:rsidP="009330C3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171CBE" w:rsidRDefault="00471852" w:rsidP="009330C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52CE5">
        <w:rPr>
          <w:rFonts w:ascii="Arial" w:hAnsi="Arial" w:cs="Arial"/>
        </w:rPr>
        <w:t xml:space="preserve"> Утвердить</w:t>
      </w:r>
      <w:r w:rsidR="00171CBE">
        <w:rPr>
          <w:rFonts w:ascii="Arial" w:hAnsi="Arial" w:cs="Arial"/>
        </w:rPr>
        <w:t xml:space="preserve"> Программу комплексного развития систем коммунальной инфраструктуры</w:t>
      </w:r>
      <w:r w:rsidR="00956663">
        <w:rPr>
          <w:rFonts w:ascii="Arial" w:hAnsi="Arial" w:cs="Arial"/>
        </w:rPr>
        <w:t xml:space="preserve"> Горбатовского сельского поселения Серафимовичского муниципального района Волгоградской </w:t>
      </w:r>
      <w:proofErr w:type="gramStart"/>
      <w:r w:rsidR="00956663">
        <w:rPr>
          <w:rFonts w:ascii="Arial" w:hAnsi="Arial" w:cs="Arial"/>
        </w:rPr>
        <w:t xml:space="preserve">области </w:t>
      </w:r>
      <w:r w:rsidR="00171CBE">
        <w:rPr>
          <w:rFonts w:ascii="Arial" w:hAnsi="Arial" w:cs="Arial"/>
        </w:rPr>
        <w:t xml:space="preserve"> </w:t>
      </w:r>
      <w:r w:rsidR="00956663">
        <w:rPr>
          <w:rFonts w:ascii="Arial" w:hAnsi="Arial" w:cs="Arial"/>
        </w:rPr>
        <w:t>на</w:t>
      </w:r>
      <w:proofErr w:type="gramEnd"/>
      <w:r w:rsidR="00956663">
        <w:rPr>
          <w:rFonts w:ascii="Arial" w:hAnsi="Arial" w:cs="Arial"/>
        </w:rPr>
        <w:t xml:space="preserve"> 2021-2024 гг.</w:t>
      </w:r>
      <w:r>
        <w:rPr>
          <w:rFonts w:ascii="Arial" w:hAnsi="Arial" w:cs="Arial"/>
        </w:rPr>
        <w:t>.</w:t>
      </w:r>
    </w:p>
    <w:p w:rsidR="00171CBE" w:rsidRDefault="00171CBE" w:rsidP="009330C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lang w:eastAsia="ru-RU"/>
        </w:rPr>
      </w:pPr>
    </w:p>
    <w:p w:rsidR="009330C3" w:rsidRPr="00AA028E" w:rsidRDefault="009330C3" w:rsidP="009330C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AA028E">
        <w:rPr>
          <w:rFonts w:ascii="Arial" w:hAnsi="Arial" w:cs="Arial"/>
        </w:rPr>
        <w:t xml:space="preserve">2. </w:t>
      </w:r>
      <w:r w:rsidRPr="00AA028E">
        <w:rPr>
          <w:rFonts w:ascii="Arial" w:hAnsi="Arial" w:cs="Arial"/>
          <w:bCs/>
        </w:rPr>
        <w:t>На</w:t>
      </w:r>
      <w:r w:rsidR="008945E6">
        <w:rPr>
          <w:rFonts w:ascii="Arial" w:hAnsi="Arial" w:cs="Arial"/>
          <w:bCs/>
        </w:rPr>
        <w:t>стоящее решение вступает в силу со дня его официального обнародования</w:t>
      </w:r>
      <w:r w:rsidR="00452CE5">
        <w:rPr>
          <w:rFonts w:ascii="Arial" w:hAnsi="Arial" w:cs="Arial"/>
          <w:bCs/>
        </w:rPr>
        <w:t xml:space="preserve"> и распространяет свои действия с 01.01.2021г.</w:t>
      </w:r>
    </w:p>
    <w:p w:rsidR="009330C3" w:rsidRPr="00AA028E" w:rsidRDefault="009330C3" w:rsidP="009330C3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9330C3" w:rsidRPr="00AA028E" w:rsidRDefault="009330C3" w:rsidP="009330C3">
      <w:pPr>
        <w:widowControl w:val="0"/>
        <w:autoSpaceDE w:val="0"/>
        <w:ind w:firstLine="709"/>
        <w:rPr>
          <w:rFonts w:ascii="Arial" w:hAnsi="Arial" w:cs="Arial"/>
          <w:lang w:eastAsia="ru-RU"/>
        </w:rPr>
      </w:pPr>
    </w:p>
    <w:p w:rsidR="00756498" w:rsidRPr="00AA028E" w:rsidRDefault="00756498" w:rsidP="009330C3">
      <w:pPr>
        <w:widowControl w:val="0"/>
        <w:autoSpaceDE w:val="0"/>
        <w:ind w:firstLine="709"/>
        <w:rPr>
          <w:rFonts w:ascii="Arial" w:hAnsi="Arial" w:cs="Arial"/>
        </w:rPr>
      </w:pPr>
    </w:p>
    <w:p w:rsidR="009330C3" w:rsidRPr="00AA028E" w:rsidRDefault="009330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t>Глава</w:t>
      </w:r>
      <w:r w:rsidR="00756498" w:rsidRPr="00AA028E">
        <w:rPr>
          <w:rFonts w:ascii="Arial" w:hAnsi="Arial" w:cs="Arial"/>
          <w:lang w:eastAsia="ru-RU"/>
        </w:rPr>
        <w:t xml:space="preserve"> Горбатовского</w:t>
      </w:r>
    </w:p>
    <w:p w:rsidR="00756498" w:rsidRDefault="00756498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t xml:space="preserve">сельского </w:t>
      </w:r>
      <w:proofErr w:type="gramStart"/>
      <w:r w:rsidRPr="00AA028E">
        <w:rPr>
          <w:rFonts w:ascii="Arial" w:hAnsi="Arial" w:cs="Arial"/>
          <w:lang w:eastAsia="ru-RU"/>
        </w:rPr>
        <w:t xml:space="preserve">поселения:   </w:t>
      </w:r>
      <w:proofErr w:type="gramEnd"/>
      <w:r w:rsidRPr="00AA028E">
        <w:rPr>
          <w:rFonts w:ascii="Arial" w:hAnsi="Arial" w:cs="Arial"/>
          <w:lang w:eastAsia="ru-RU"/>
        </w:rPr>
        <w:t xml:space="preserve">                                                     Г.Г. Горбатов</w:t>
      </w: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476DC3" w:rsidRPr="000B31EB" w:rsidRDefault="00476DC3" w:rsidP="00476DC3">
      <w:pPr>
        <w:jc w:val="center"/>
        <w:rPr>
          <w:rFonts w:ascii="Arial" w:hAnsi="Arial" w:cs="Arial"/>
        </w:rPr>
      </w:pPr>
      <w:r w:rsidRPr="000B31EB">
        <w:rPr>
          <w:rFonts w:ascii="Arial" w:hAnsi="Arial" w:cs="Arial"/>
          <w:noProof/>
          <w:lang w:eastAsia="ru-RU"/>
        </w:rPr>
        <w:drawing>
          <wp:inline distT="0" distB="0" distL="0" distR="0">
            <wp:extent cx="885825" cy="1295400"/>
            <wp:effectExtent l="0" t="0" r="9525" b="0"/>
            <wp:docPr id="1" name="Рисунок 1" descr="Файл:Coat of arms of Serafimovichsky district 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Coat of arms of Serafimovichsky district 0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jc w:val="center"/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Комплексная программа модернизации и реформирования жилищно-коммунального хозяйства Горбатовского сельского поселения</w:t>
      </w:r>
      <w:r w:rsidRPr="000B31EB">
        <w:rPr>
          <w:rFonts w:ascii="Arial" w:hAnsi="Arial" w:cs="Arial"/>
          <w:b/>
        </w:rPr>
        <w:br/>
        <w:t>Серафимовичского муниципального района Волгоградской области на 2021-2024 годы:</w:t>
      </w: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Default="00476DC3" w:rsidP="00476DC3">
      <w:pPr>
        <w:rPr>
          <w:rFonts w:ascii="Arial" w:hAnsi="Arial" w:cs="Arial"/>
        </w:rPr>
      </w:pPr>
    </w:p>
    <w:p w:rsidR="00476DC3" w:rsidRDefault="00476DC3" w:rsidP="00476DC3">
      <w:pPr>
        <w:rPr>
          <w:rFonts w:ascii="Arial" w:hAnsi="Arial" w:cs="Arial"/>
        </w:rPr>
      </w:pPr>
    </w:p>
    <w:p w:rsidR="00476DC3" w:rsidRDefault="00476DC3" w:rsidP="00476DC3">
      <w:pPr>
        <w:rPr>
          <w:rFonts w:ascii="Arial" w:hAnsi="Arial" w:cs="Arial"/>
        </w:rPr>
      </w:pPr>
    </w:p>
    <w:p w:rsidR="00476DC3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jc w:val="center"/>
        <w:rPr>
          <w:rFonts w:ascii="Arial" w:hAnsi="Arial" w:cs="Arial"/>
        </w:rPr>
      </w:pPr>
      <w:r w:rsidRPr="000B31EB">
        <w:rPr>
          <w:rFonts w:ascii="Arial" w:hAnsi="Arial" w:cs="Arial"/>
        </w:rPr>
        <w:t>х. Горбатовский, 2021г.</w:t>
      </w:r>
    </w:p>
    <w:p w:rsidR="00476DC3" w:rsidRPr="00320D83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</w:rPr>
        <w:br w:type="page"/>
      </w:r>
      <w:bookmarkStart w:id="0" w:name="_Toc296504651"/>
      <w:r w:rsidRPr="00320D83">
        <w:rPr>
          <w:rFonts w:ascii="Arial" w:hAnsi="Arial" w:cs="Arial"/>
          <w:b/>
        </w:rPr>
        <w:lastRenderedPageBreak/>
        <w:t>1. ПАСПОРТ</w:t>
      </w:r>
      <w:bookmarkEnd w:id="0"/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44"/>
        <w:gridCol w:w="7268"/>
      </w:tblGrid>
      <w:tr w:rsidR="00476DC3" w:rsidRPr="000B31EB" w:rsidTr="00E0005A">
        <w:trPr>
          <w:jc w:val="center"/>
        </w:trPr>
        <w:tc>
          <w:tcPr>
            <w:tcW w:w="2565" w:type="dxa"/>
            <w:shd w:val="clear" w:color="auto" w:fill="auto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464" w:type="dxa"/>
            <w:shd w:val="clear" w:color="auto" w:fill="auto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Комплексная программа модернизации и реформирования жилищно-коммунального хозяйства Горбатовского сельского поселения Серафимовичского муниципального района Волгоградской области на 2021-2024 годы:</w:t>
            </w:r>
          </w:p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Подпрограмма комплексного развития систем коммунальной инфраструктуры (ПКРСКИ)</w:t>
            </w: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pStyle w:val="a0"/>
              <w:spacing w:before="120" w:after="120"/>
              <w:ind w:left="709" w:hanging="283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Федеральная целевая программа «Комплексная программа модернизации и реформирования ЖКХ на 2010-2020 годы.»;</w:t>
            </w:r>
          </w:p>
          <w:p w:rsidR="00476DC3" w:rsidRPr="000B31EB" w:rsidRDefault="00476DC3" w:rsidP="00E0005A">
            <w:pPr>
              <w:pStyle w:val="a0"/>
              <w:spacing w:before="120" w:after="120"/>
              <w:ind w:left="709" w:hanging="283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476DC3" w:rsidRPr="000B31EB" w:rsidRDefault="00476DC3" w:rsidP="00E0005A">
            <w:pPr>
              <w:pStyle w:val="a0"/>
              <w:spacing w:before="120" w:after="120"/>
              <w:ind w:left="709" w:hanging="283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B31EB">
                <w:rPr>
                  <w:rFonts w:ascii="Arial" w:hAnsi="Arial" w:cs="Arial"/>
                </w:rPr>
                <w:t>2004 г</w:t>
              </w:r>
            </w:smartTag>
            <w:r w:rsidRPr="000B31EB">
              <w:rPr>
                <w:rFonts w:ascii="Arial" w:hAnsi="Arial" w:cs="Arial"/>
              </w:rPr>
              <w:t>. № 210-ФЗ «Об основах регулирования тарифов организаций коммунального комплекса»;</w:t>
            </w:r>
          </w:p>
          <w:p w:rsidR="00476DC3" w:rsidRPr="000B31EB" w:rsidRDefault="00476DC3" w:rsidP="00E0005A">
            <w:pPr>
              <w:pStyle w:val="a0"/>
              <w:spacing w:before="120" w:after="120"/>
              <w:ind w:left="709" w:hanging="283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Прогноз социально-экономического развития Горбатовского сельского </w:t>
            </w:r>
            <w:proofErr w:type="gramStart"/>
            <w:r w:rsidRPr="000B31EB">
              <w:rPr>
                <w:rFonts w:ascii="Arial" w:hAnsi="Arial" w:cs="Arial"/>
              </w:rPr>
              <w:t>поселения  Серафимовичского</w:t>
            </w:r>
            <w:proofErr w:type="gramEnd"/>
            <w:r w:rsidRPr="000B31EB">
              <w:rPr>
                <w:rFonts w:ascii="Arial" w:hAnsi="Arial" w:cs="Arial"/>
              </w:rPr>
              <w:t xml:space="preserve"> муниципального района на о</w:t>
            </w:r>
            <w:r>
              <w:rPr>
                <w:rFonts w:ascii="Arial" w:hAnsi="Arial" w:cs="Arial"/>
              </w:rPr>
              <w:t>чередной 2021</w:t>
            </w:r>
            <w:r w:rsidRPr="000B31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 и плановый период 2022-2023</w:t>
            </w:r>
            <w:r w:rsidRPr="000B31EB">
              <w:rPr>
                <w:rFonts w:ascii="Arial" w:hAnsi="Arial" w:cs="Arial"/>
              </w:rPr>
              <w:t xml:space="preserve"> годов.</w:t>
            </w: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Администрация Горбатовского сельского поселения Серафимовичского муниципального района </w:t>
            </w: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Разработчик программы 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0B31EB">
              <w:rPr>
                <w:rFonts w:ascii="Arial" w:hAnsi="Arial" w:cs="Arial"/>
              </w:rPr>
              <w:t>Администрация  Горбатовского</w:t>
            </w:r>
            <w:proofErr w:type="gramEnd"/>
            <w:r w:rsidRPr="000B31EB">
              <w:rPr>
                <w:rFonts w:ascii="Arial" w:hAnsi="Arial" w:cs="Arial"/>
              </w:rPr>
              <w:t xml:space="preserve"> сельского поселения Серафимовичского муниципального района</w:t>
            </w: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Цели программы 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pStyle w:val="a0"/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обеспечение к 2024 году собственников жилых домов всеми коммунальными услугами нормативного качества;</w:t>
            </w:r>
          </w:p>
          <w:p w:rsidR="00476DC3" w:rsidRPr="000B31EB" w:rsidRDefault="00476DC3" w:rsidP="00E0005A">
            <w:pPr>
              <w:pStyle w:val="a0"/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обеспечение надежной и стабильной поставки коммунальных ресурсов с использованием </w:t>
            </w:r>
            <w:proofErr w:type="spellStart"/>
            <w:r w:rsidRPr="000B31EB">
              <w:rPr>
                <w:rFonts w:ascii="Arial" w:hAnsi="Arial" w:cs="Arial"/>
              </w:rPr>
              <w:t>энергоэффективных</w:t>
            </w:r>
            <w:proofErr w:type="spellEnd"/>
            <w:r w:rsidRPr="000B31EB">
              <w:rPr>
                <w:rFonts w:ascii="Arial" w:hAnsi="Arial" w:cs="Arial"/>
              </w:rPr>
              <w:t xml:space="preserve"> технологий и оборудования;</w:t>
            </w:r>
          </w:p>
          <w:p w:rsidR="00476DC3" w:rsidRPr="000B31EB" w:rsidRDefault="00476DC3" w:rsidP="00E0005A">
            <w:pPr>
              <w:pStyle w:val="a0"/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обеспечение доступной стоимости жилищно-коммунальных услуг нормативного качества;</w:t>
            </w: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Задачи программы </w:t>
            </w:r>
          </w:p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464" w:type="dxa"/>
          </w:tcPr>
          <w:p w:rsidR="00476DC3" w:rsidRPr="000B31EB" w:rsidRDefault="00476DC3" w:rsidP="00E0005A">
            <w:pPr>
              <w:pStyle w:val="a0"/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76DC3" w:rsidRPr="000B31EB" w:rsidRDefault="00476DC3" w:rsidP="00E0005A">
            <w:pPr>
              <w:pStyle w:val="a0"/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proofErr w:type="gramStart"/>
            <w:r w:rsidRPr="000B31EB">
              <w:rPr>
                <w:rFonts w:ascii="Arial" w:hAnsi="Arial" w:cs="Arial"/>
              </w:rPr>
              <w:t>коммунальных  услуг</w:t>
            </w:r>
            <w:proofErr w:type="gramEnd"/>
            <w:r w:rsidRPr="000B31EB">
              <w:rPr>
                <w:rFonts w:ascii="Arial" w:hAnsi="Arial" w:cs="Arial"/>
              </w:rPr>
              <w:t>;</w:t>
            </w:r>
          </w:p>
          <w:p w:rsidR="00476DC3" w:rsidRPr="000B31EB" w:rsidRDefault="00476DC3" w:rsidP="00E0005A">
            <w:pPr>
              <w:pStyle w:val="a0"/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повышение операционной эффективности организаций коммунального комплекса (ОКК);</w:t>
            </w:r>
          </w:p>
          <w:p w:rsidR="00476DC3" w:rsidRPr="000B31EB" w:rsidRDefault="00476DC3" w:rsidP="00E0005A">
            <w:pPr>
              <w:pStyle w:val="a0"/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lastRenderedPageBreak/>
              <w:t xml:space="preserve">программное управление </w:t>
            </w:r>
            <w:proofErr w:type="spellStart"/>
            <w:r w:rsidRPr="000B31EB">
              <w:rPr>
                <w:rFonts w:ascii="Arial" w:hAnsi="Arial" w:cs="Arial"/>
              </w:rPr>
              <w:t>энерго</w:t>
            </w:r>
            <w:proofErr w:type="spellEnd"/>
            <w:r w:rsidRPr="000B31EB">
              <w:rPr>
                <w:rFonts w:ascii="Arial" w:hAnsi="Arial" w:cs="Arial"/>
              </w:rPr>
              <w:t xml:space="preserve">- </w:t>
            </w:r>
            <w:proofErr w:type="gramStart"/>
            <w:r w:rsidRPr="000B31EB">
              <w:rPr>
                <w:rFonts w:ascii="Arial" w:hAnsi="Arial" w:cs="Arial"/>
              </w:rPr>
              <w:t>и  ресурсосбережением</w:t>
            </w:r>
            <w:proofErr w:type="gramEnd"/>
            <w:r w:rsidRPr="000B31EB">
              <w:rPr>
                <w:rFonts w:ascii="Arial" w:hAnsi="Arial" w:cs="Arial"/>
              </w:rPr>
              <w:t xml:space="preserve"> и повышением </w:t>
            </w:r>
            <w:proofErr w:type="spellStart"/>
            <w:r w:rsidRPr="000B31EB">
              <w:rPr>
                <w:rFonts w:ascii="Arial" w:hAnsi="Arial" w:cs="Arial"/>
              </w:rPr>
              <w:t>энергоэффективности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  <w:p w:rsidR="00476DC3" w:rsidRPr="000B31EB" w:rsidRDefault="00476DC3" w:rsidP="00E0005A">
            <w:pPr>
              <w:pStyle w:val="a0"/>
              <w:numPr>
                <w:ilvl w:val="0"/>
                <w:numId w:val="0"/>
              </w:numPr>
              <w:spacing w:before="120" w:after="120"/>
              <w:ind w:left="644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lastRenderedPageBreak/>
              <w:t xml:space="preserve">Сроки реализации программы 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Реализация программы планируется на 2021- 2024 годы</w:t>
            </w:r>
          </w:p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pStyle w:val="a0"/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комплексное развитие систем водоснабжения;</w:t>
            </w: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Администрация Горбатовского сельского поселения</w:t>
            </w: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Источники финансирования Программы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Областной бюджет, бюджет муниципального района, бюджет Горбатовского сельского поселения, </w:t>
            </w: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Экономическая эффективность реализации программы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Положительного экономического эффекта не достигается</w:t>
            </w:r>
          </w:p>
        </w:tc>
      </w:tr>
      <w:tr w:rsidR="00476DC3" w:rsidRPr="000B31EB" w:rsidTr="00E0005A">
        <w:trPr>
          <w:jc w:val="center"/>
        </w:trPr>
        <w:tc>
          <w:tcPr>
            <w:tcW w:w="2565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Система организации контроля за исполнением программы</w:t>
            </w:r>
          </w:p>
        </w:tc>
        <w:tc>
          <w:tcPr>
            <w:tcW w:w="7464" w:type="dxa"/>
          </w:tcPr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Реализация программы: Администрация Горбатовского сельского поселения</w:t>
            </w:r>
          </w:p>
          <w:p w:rsidR="00476DC3" w:rsidRPr="000B31EB" w:rsidRDefault="00476DC3" w:rsidP="00E0005A">
            <w:pPr>
              <w:spacing w:before="120" w:after="12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Контроль реализации: Администрация Серафимовичского муниципального района</w:t>
            </w:r>
          </w:p>
        </w:tc>
      </w:tr>
    </w:tbl>
    <w:p w:rsidR="00476DC3" w:rsidRPr="000B31EB" w:rsidRDefault="00476DC3" w:rsidP="00476DC3">
      <w:pPr>
        <w:rPr>
          <w:rFonts w:ascii="Arial" w:hAnsi="Arial" w:cs="Arial"/>
          <w:highlight w:val="yellow"/>
        </w:rPr>
      </w:pPr>
    </w:p>
    <w:p w:rsidR="00476DC3" w:rsidRPr="000B31EB" w:rsidRDefault="00476DC3" w:rsidP="00476DC3">
      <w:pPr>
        <w:rPr>
          <w:rFonts w:ascii="Arial" w:hAnsi="Arial" w:cs="Arial"/>
          <w:highlight w:val="yellow"/>
        </w:rPr>
      </w:pPr>
    </w:p>
    <w:p w:rsidR="00476DC3" w:rsidRPr="000B31EB" w:rsidRDefault="00476DC3" w:rsidP="00476DC3">
      <w:pPr>
        <w:pStyle w:val="1"/>
        <w:rPr>
          <w:rFonts w:ascii="Arial" w:hAnsi="Arial" w:cs="Arial"/>
          <w:sz w:val="24"/>
          <w:szCs w:val="24"/>
        </w:rPr>
      </w:pPr>
      <w:r w:rsidRPr="000B31EB">
        <w:rPr>
          <w:rFonts w:ascii="Arial" w:hAnsi="Arial" w:cs="Arial"/>
          <w:sz w:val="24"/>
          <w:szCs w:val="24"/>
          <w:highlight w:val="yellow"/>
        </w:rPr>
        <w:br w:type="page"/>
      </w:r>
      <w:bookmarkStart w:id="1" w:name="_Toc296504652"/>
      <w:r w:rsidRPr="000B31EB">
        <w:rPr>
          <w:rFonts w:ascii="Arial" w:hAnsi="Arial" w:cs="Arial"/>
          <w:sz w:val="24"/>
          <w:szCs w:val="24"/>
        </w:rPr>
        <w:lastRenderedPageBreak/>
        <w:t>ВВЕДЕНИЕ</w:t>
      </w:r>
      <w:bookmarkEnd w:id="1"/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Программа комплексного развития систем коммунальной инфраструктуры Горбатовского сельского поселения Серафимовичского муниципального района Волгоградской области на 2021 – 2024 гг. (Программа) разработана в соответствии со следующими нормативными документами: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Градостроительный кодекс РФ от 29.12.2004 № 190-ФЗ (в ред. Федерального закона от 17.07.2009 № 164-ФЗ);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Федеральный Закон от 30.12.2004 г. № 210-ФЗ «Об основах регулирования тарифов организаций коммунального комплекса» (в ред. Федерального закона от 25.12.2008 № 281-ФЗ);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Федеральный закон от 27.11.2009 г. № 261-ФЗ «Об энергосбережении и о повышении </w:t>
      </w:r>
      <w:proofErr w:type="gramStart"/>
      <w:r w:rsidRPr="000B31EB">
        <w:rPr>
          <w:rFonts w:ascii="Arial" w:hAnsi="Arial" w:cs="Arial"/>
        </w:rPr>
        <w:t>энергетической эффективности</w:t>
      </w:r>
      <w:proofErr w:type="gramEnd"/>
      <w:r w:rsidRPr="000B31EB">
        <w:rPr>
          <w:rFonts w:ascii="Arial" w:hAnsi="Arial" w:cs="Arial"/>
        </w:rPr>
        <w:t xml:space="preserve"> и о внесении изменений в отдельные законодательные акты Российской Федерации»;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Постановление Правительства РФ от 24.05.2007 г.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организаций».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Программа комплексного развития систем коммунальной инфраструктуры на перспективный период является важнейшим инструментом, обеспечивающим развитие коммунальных систем и объектов в соответствии с потребностями жилищного и промышленного строительства, повышающим качество производимых для потребителей коммунальных услуг, а также способствующим улучшению экологической ситуации на территории муниципального образования.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Программа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участков. 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В основу формирования и реализации Программы комплексного развития систем коммунальной инфраструктуры муниципального образования положены следующие принципы: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целеполагания – мероприятия и решения Программы комплексного развития должны обеспечивать достижение поставленных целей;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системности – рассмотрение Программы комплексного развития коммунальной </w:t>
      </w:r>
      <w:proofErr w:type="gramStart"/>
      <w:r w:rsidRPr="000B31EB">
        <w:rPr>
          <w:rFonts w:ascii="Arial" w:hAnsi="Arial" w:cs="Arial"/>
        </w:rPr>
        <w:t>инфраструктуры  муниципального</w:t>
      </w:r>
      <w:proofErr w:type="gramEnd"/>
      <w:r w:rsidRPr="000B31EB">
        <w:rPr>
          <w:rFonts w:ascii="Arial" w:hAnsi="Arial" w:cs="Arial"/>
        </w:rPr>
        <w:t xml:space="preserve"> образования как единой системы с учетом взаимного влияния разделов и мероприятий Программы;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комплексности – формирование Программы развития коммунальной инфраструктуры во взаимосвязи с различными целевыми Программами (федеральными, областными, муниципальными), реализуемыми на территории муниципального образования.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Программа определяет основные направления развития коммунальной инфраструктуры, в части объектов водоснабжения. 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Таким образом, Программа комплексного развития систем коммунальной инфраструктуры Горбатовского сельского поселения Серафимовичского района Волгоградской области представляет собой увязанный по целям, задачам и срокам </w:t>
      </w:r>
      <w:r w:rsidRPr="000B31EB">
        <w:rPr>
          <w:rFonts w:ascii="Arial" w:hAnsi="Arial" w:cs="Arial"/>
        </w:rPr>
        <w:lastRenderedPageBreak/>
        <w:t xml:space="preserve">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на период 2021 – 2024 гг., а также содержит перспективные мероприятия, сроки реализации которых могут быть изменены в силу объективных обстоятельств. Основополагающим аспектом Программы является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направлений, ожидаемые результаты реализации Программы и потенциальные показатели оценки эффективности мероприятий, включаемых в Программу. 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Данная Программа ориентирована на устойчивое развитие, под которым предполагается обеспечение существенного прогресса в развитии основных секторов экономики, повышение уровня жизни и условий проживания населения, долговременная экологическая безопасность города и смежных территорий, рациональное использование всех видов ресурсов, современные методы организации инженерных систем. 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Программа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476DC3" w:rsidRPr="000B31EB" w:rsidRDefault="00476DC3" w:rsidP="00476DC3">
      <w:pPr>
        <w:rPr>
          <w:rFonts w:ascii="Arial" w:hAnsi="Arial" w:cs="Arial"/>
          <w:highlight w:val="yellow"/>
        </w:rPr>
      </w:pPr>
    </w:p>
    <w:p w:rsidR="00476DC3" w:rsidRPr="000B31EB" w:rsidRDefault="00476DC3" w:rsidP="00476DC3">
      <w:pPr>
        <w:pStyle w:val="1"/>
        <w:rPr>
          <w:rStyle w:val="af6"/>
          <w:rFonts w:ascii="Arial" w:hAnsi="Arial" w:cs="Arial"/>
        </w:rPr>
      </w:pPr>
      <w:r w:rsidRPr="000B31EB">
        <w:rPr>
          <w:rStyle w:val="af6"/>
          <w:rFonts w:ascii="Arial" w:hAnsi="Arial" w:cs="Arial"/>
        </w:rPr>
        <w:br w:type="page"/>
      </w:r>
      <w:bookmarkStart w:id="2" w:name="_Toc296504653"/>
      <w:r w:rsidRPr="000B31EB">
        <w:rPr>
          <w:rStyle w:val="af6"/>
          <w:rFonts w:ascii="Arial" w:hAnsi="Arial" w:cs="Arial"/>
        </w:rPr>
        <w:lastRenderedPageBreak/>
        <w:t>ХАРАКТЕРИСТИКА ГОРБАТОВСКОГО СЕЛЬСКОГО ПОСЕЛЕНИЯ СЕРАФИМОВИЧСКОГО МУНИЦИПАЛЬНОГО РАЙОНА</w:t>
      </w:r>
      <w:bookmarkEnd w:id="2"/>
    </w:p>
    <w:p w:rsidR="00476DC3" w:rsidRPr="000B31EB" w:rsidRDefault="00476DC3" w:rsidP="00476DC3">
      <w:pPr>
        <w:pStyle w:val="a1"/>
        <w:rPr>
          <w:rFonts w:ascii="Arial" w:hAnsi="Arial" w:cs="Arial"/>
          <w:sz w:val="24"/>
          <w:szCs w:val="24"/>
        </w:rPr>
      </w:pPr>
      <w:bookmarkStart w:id="3" w:name="_Toc296504654"/>
      <w:r w:rsidRPr="000B31EB">
        <w:rPr>
          <w:rFonts w:ascii="Arial" w:hAnsi="Arial" w:cs="Arial"/>
          <w:sz w:val="24"/>
          <w:szCs w:val="24"/>
        </w:rPr>
        <w:t>Общие сведения</w:t>
      </w:r>
      <w:bookmarkEnd w:id="3"/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   Горбатовское сельское поселение основано в 1933 году. Расположено в западной части Волгоградской области в </w:t>
      </w:r>
      <w:smartTag w:uri="urn:schemas-microsoft-com:office:smarttags" w:element="metricconverter">
        <w:smartTagPr>
          <w:attr w:name="ProductID" w:val="280 км"/>
        </w:smartTagPr>
        <w:r w:rsidRPr="000B31EB">
          <w:rPr>
            <w:rFonts w:ascii="Arial" w:hAnsi="Arial" w:cs="Arial"/>
          </w:rPr>
          <w:t>280 км</w:t>
        </w:r>
      </w:smartTag>
      <w:r w:rsidRPr="000B31EB">
        <w:rPr>
          <w:rFonts w:ascii="Arial" w:hAnsi="Arial" w:cs="Arial"/>
        </w:rPr>
        <w:t xml:space="preserve"> от города Волгограда, граничит с </w:t>
      </w:r>
      <w:proofErr w:type="spellStart"/>
      <w:r w:rsidRPr="000B31EB">
        <w:rPr>
          <w:rFonts w:ascii="Arial" w:hAnsi="Arial" w:cs="Arial"/>
        </w:rPr>
        <w:t>Пронинским</w:t>
      </w:r>
      <w:proofErr w:type="spellEnd"/>
      <w:r w:rsidRPr="000B31EB">
        <w:rPr>
          <w:rFonts w:ascii="Arial" w:hAnsi="Arial" w:cs="Arial"/>
        </w:rPr>
        <w:t xml:space="preserve">, </w:t>
      </w:r>
      <w:proofErr w:type="spellStart"/>
      <w:r w:rsidRPr="000B31EB">
        <w:rPr>
          <w:rFonts w:ascii="Arial" w:hAnsi="Arial" w:cs="Arial"/>
        </w:rPr>
        <w:t>Большовским</w:t>
      </w:r>
      <w:proofErr w:type="spellEnd"/>
      <w:r w:rsidRPr="000B31EB">
        <w:rPr>
          <w:rFonts w:ascii="Arial" w:hAnsi="Arial" w:cs="Arial"/>
        </w:rPr>
        <w:t xml:space="preserve">, </w:t>
      </w:r>
      <w:proofErr w:type="spellStart"/>
      <w:proofErr w:type="gramStart"/>
      <w:r w:rsidRPr="000B31EB">
        <w:rPr>
          <w:rFonts w:ascii="Arial" w:hAnsi="Arial" w:cs="Arial"/>
        </w:rPr>
        <w:t>Крутовским</w:t>
      </w:r>
      <w:proofErr w:type="spellEnd"/>
      <w:r w:rsidRPr="000B31EB">
        <w:rPr>
          <w:rFonts w:ascii="Arial" w:hAnsi="Arial" w:cs="Arial"/>
        </w:rPr>
        <w:t xml:space="preserve">  поселениями</w:t>
      </w:r>
      <w:proofErr w:type="gramEnd"/>
      <w:r w:rsidRPr="000B31EB">
        <w:rPr>
          <w:rFonts w:ascii="Arial" w:hAnsi="Arial" w:cs="Arial"/>
        </w:rPr>
        <w:t xml:space="preserve"> и Ростовской областью.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Занимает площадь 141 кв. километр.  В поселении проживают 503 человека. Граждане трудоспособного возраста составляют 59% от общей численности населения поселения.</w:t>
      </w:r>
    </w:p>
    <w:p w:rsidR="00476DC3" w:rsidRPr="000B31EB" w:rsidRDefault="00476DC3" w:rsidP="00476DC3">
      <w:pPr>
        <w:rPr>
          <w:rFonts w:ascii="Arial" w:hAnsi="Arial" w:cs="Arial"/>
          <w:spacing w:val="3"/>
        </w:rPr>
      </w:pPr>
      <w:r w:rsidRPr="000B31EB">
        <w:rPr>
          <w:rFonts w:ascii="Arial" w:hAnsi="Arial" w:cs="Arial"/>
        </w:rPr>
        <w:t>На территории поселения расположено 2 сельских населенных пунктов х. Горбатовский и х. Рубашкин</w:t>
      </w:r>
    </w:p>
    <w:p w:rsidR="00476DC3" w:rsidRPr="000B31EB" w:rsidRDefault="00476DC3" w:rsidP="00476DC3">
      <w:pPr>
        <w:pStyle w:val="a1"/>
        <w:rPr>
          <w:rFonts w:ascii="Arial" w:hAnsi="Arial" w:cs="Arial"/>
          <w:sz w:val="24"/>
          <w:szCs w:val="24"/>
        </w:rPr>
      </w:pPr>
      <w:bookmarkStart w:id="4" w:name="_Toc296504655"/>
      <w:r w:rsidRPr="000B31EB">
        <w:rPr>
          <w:rFonts w:ascii="Arial" w:hAnsi="Arial" w:cs="Arial"/>
          <w:sz w:val="24"/>
          <w:szCs w:val="24"/>
        </w:rPr>
        <w:t>Социально-экономические данные</w:t>
      </w:r>
      <w:bookmarkEnd w:id="4"/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Горбатовское сельское поселение Серафимовичского муниципального района характеризуется высоким уровнем сельскохозяйственного, ресурсного потенциалов, которые позволяют при благоприятных внешних и внутренних факторах обеспечить самодостаточность и устойчивое развитие территории.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На территории района действуют ИП К(Ф)Х «</w:t>
      </w:r>
      <w:proofErr w:type="spellStart"/>
      <w:r w:rsidRPr="000B31EB">
        <w:rPr>
          <w:rFonts w:ascii="Arial" w:hAnsi="Arial" w:cs="Arial"/>
        </w:rPr>
        <w:t>Мурадбеков</w:t>
      </w:r>
      <w:proofErr w:type="spellEnd"/>
      <w:r w:rsidRPr="000B31EB">
        <w:rPr>
          <w:rFonts w:ascii="Arial" w:hAnsi="Arial" w:cs="Arial"/>
        </w:rPr>
        <w:t xml:space="preserve">» </w:t>
      </w:r>
      <w:proofErr w:type="gramStart"/>
      <w:r w:rsidRPr="000B31EB">
        <w:rPr>
          <w:rFonts w:ascii="Arial" w:hAnsi="Arial" w:cs="Arial"/>
        </w:rPr>
        <w:t>и  2</w:t>
      </w:r>
      <w:proofErr w:type="gramEnd"/>
      <w:r w:rsidRPr="000B31EB">
        <w:rPr>
          <w:rFonts w:ascii="Arial" w:hAnsi="Arial" w:cs="Arial"/>
        </w:rPr>
        <w:t xml:space="preserve"> крестьянских (фермерских) хозяйств и 150  личных подсобных хозяйств.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Таблица 3.1. Основные социально-экономические показатели развития Горбатовского сельского поселения Серафимовичского муниципального района за 2021 год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2"/>
        <w:gridCol w:w="2550"/>
      </w:tblGrid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Показатель</w:t>
            </w:r>
          </w:p>
        </w:tc>
        <w:tc>
          <w:tcPr>
            <w:tcW w:w="2604" w:type="dxa"/>
            <w:noWrap/>
            <w:vAlign w:val="center"/>
          </w:tcPr>
          <w:p w:rsidR="00476DC3" w:rsidRPr="000B31EB" w:rsidRDefault="00476DC3" w:rsidP="00E0005A">
            <w:pPr>
              <w:spacing w:before="60" w:after="60"/>
              <w:ind w:hanging="14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Величина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Численность населения, чел.</w:t>
            </w:r>
          </w:p>
        </w:tc>
        <w:tc>
          <w:tcPr>
            <w:tcW w:w="2604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493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Численность экономически активного населения, чел.</w:t>
            </w:r>
          </w:p>
        </w:tc>
        <w:tc>
          <w:tcPr>
            <w:tcW w:w="2604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190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Рождаемость, чел./</w:t>
            </w:r>
            <w:proofErr w:type="spellStart"/>
            <w:r w:rsidRPr="000B31EB">
              <w:rPr>
                <w:rFonts w:ascii="Arial" w:hAnsi="Arial" w:cs="Arial"/>
              </w:rPr>
              <w:t>тыс.чел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2604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Поступление налогов и сборов в местный бюджет в расчете на душу населения, руб.</w:t>
            </w:r>
          </w:p>
        </w:tc>
        <w:tc>
          <w:tcPr>
            <w:tcW w:w="2604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1670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Инвестиции в основной капитал за счет всех источников финансирования в расчете на душу населения, руб.</w:t>
            </w:r>
          </w:p>
        </w:tc>
        <w:tc>
          <w:tcPr>
            <w:tcW w:w="2604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Среднедушевые денежные доходы населения, руб.</w:t>
            </w:r>
          </w:p>
        </w:tc>
        <w:tc>
          <w:tcPr>
            <w:tcW w:w="2604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3047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Производство продукции сельского хозяйства во всех категориях хозяйств в расчете на душу населения, руб.</w:t>
            </w:r>
          </w:p>
        </w:tc>
        <w:tc>
          <w:tcPr>
            <w:tcW w:w="2604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169040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Оборот розничной торговли в расчете на душу населения, руб.</w:t>
            </w:r>
          </w:p>
        </w:tc>
        <w:tc>
          <w:tcPr>
            <w:tcW w:w="2604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7800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7425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Объем платных услуг в расчете на душу населения, руб.</w:t>
            </w:r>
          </w:p>
        </w:tc>
        <w:tc>
          <w:tcPr>
            <w:tcW w:w="2604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2400</w:t>
            </w:r>
          </w:p>
        </w:tc>
      </w:tr>
    </w:tbl>
    <w:p w:rsidR="00476DC3" w:rsidRPr="000B31EB" w:rsidRDefault="00476DC3" w:rsidP="00476DC3">
      <w:pPr>
        <w:pStyle w:val="21"/>
        <w:rPr>
          <w:rFonts w:ascii="Arial" w:hAnsi="Arial" w:cs="Arial"/>
          <w:color w:val="FF6600"/>
          <w:szCs w:val="24"/>
        </w:rPr>
      </w:pP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В поселении функционируют 2 </w:t>
      </w:r>
      <w:proofErr w:type="spellStart"/>
      <w:r w:rsidRPr="000B31EB">
        <w:rPr>
          <w:rFonts w:ascii="Arial" w:hAnsi="Arial" w:cs="Arial"/>
        </w:rPr>
        <w:t>фельдшерско</w:t>
      </w:r>
      <w:proofErr w:type="spellEnd"/>
      <w:r w:rsidRPr="000B31EB">
        <w:rPr>
          <w:rFonts w:ascii="Arial" w:hAnsi="Arial" w:cs="Arial"/>
        </w:rPr>
        <w:t xml:space="preserve">–акушерских </w:t>
      </w:r>
      <w:proofErr w:type="gramStart"/>
      <w:r w:rsidRPr="000B31EB">
        <w:rPr>
          <w:rFonts w:ascii="Arial" w:hAnsi="Arial" w:cs="Arial"/>
        </w:rPr>
        <w:t>пункта,  1</w:t>
      </w:r>
      <w:proofErr w:type="gramEnd"/>
      <w:r w:rsidRPr="000B31EB">
        <w:rPr>
          <w:rFonts w:ascii="Arial" w:hAnsi="Arial" w:cs="Arial"/>
        </w:rPr>
        <w:t xml:space="preserve"> дневная общеобразовательная школа, 1  клуб.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На потребительском рынке работает 1 магазин.</w:t>
      </w:r>
    </w:p>
    <w:p w:rsidR="00476DC3" w:rsidRPr="000B31EB" w:rsidRDefault="00476DC3" w:rsidP="00476DC3">
      <w:pPr>
        <w:pStyle w:val="a1"/>
        <w:rPr>
          <w:rFonts w:ascii="Arial" w:hAnsi="Arial" w:cs="Arial"/>
          <w:sz w:val="24"/>
          <w:szCs w:val="24"/>
        </w:rPr>
      </w:pPr>
      <w:bookmarkStart w:id="5" w:name="_Toc296504656"/>
      <w:r w:rsidRPr="000B31EB">
        <w:rPr>
          <w:rFonts w:ascii="Arial" w:hAnsi="Arial" w:cs="Arial"/>
          <w:sz w:val="24"/>
          <w:szCs w:val="24"/>
        </w:rPr>
        <w:t>Потенциал развития</w:t>
      </w:r>
      <w:bookmarkEnd w:id="5"/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Стартовый социально-экономический потенциал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lastRenderedPageBreak/>
        <w:t xml:space="preserve">Горбатовское сельское поселение по уровню социально-экономического развития относится к группе </w:t>
      </w:r>
      <w:proofErr w:type="gramStart"/>
      <w:r w:rsidRPr="000B31EB">
        <w:rPr>
          <w:rFonts w:ascii="Arial" w:hAnsi="Arial" w:cs="Arial"/>
        </w:rPr>
        <w:t>территорий  со</w:t>
      </w:r>
      <w:proofErr w:type="gramEnd"/>
      <w:r w:rsidRPr="000B31EB">
        <w:rPr>
          <w:rFonts w:ascii="Arial" w:hAnsi="Arial" w:cs="Arial"/>
        </w:rPr>
        <w:t xml:space="preserve"> средним уровнем развития.</w:t>
      </w:r>
    </w:p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  <w:spacing w:val="7"/>
        </w:rPr>
      </w:pPr>
      <w:r w:rsidRPr="000B31EB">
        <w:rPr>
          <w:rFonts w:ascii="Arial" w:hAnsi="Arial" w:cs="Arial"/>
        </w:rPr>
        <w:t>Таблица 3.2. Прогноз социально-экономических показателей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59"/>
        <w:gridCol w:w="1584"/>
        <w:gridCol w:w="1589"/>
        <w:gridCol w:w="1590"/>
        <w:gridCol w:w="1590"/>
      </w:tblGrid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29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2022 год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Численность населения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тыс.человек</w:t>
            </w:r>
            <w:proofErr w:type="spellEnd"/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0,5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0,5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0,5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Рождаемость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детей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Продолжительность жизни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лет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67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67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67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Доходы населения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млн.руб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2,3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2,35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2,35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Денежные расходы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млн.руб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2,25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2,3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2,3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Фонд заработной платы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млн.руб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10.997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12,097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12,097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Инвестиции в основной капитал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млн.руб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200,0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200,0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200,0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Валовая продукция сельского хозяйства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млн.руб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0,09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0,1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0,1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Объем реализации сельскохозяйственной продукции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млн.руб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84,520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89,6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89,7</w:t>
            </w:r>
          </w:p>
        </w:tc>
      </w:tr>
      <w:tr w:rsidR="00476DC3" w:rsidRPr="000B31EB" w:rsidTr="00E0005A">
        <w:trPr>
          <w:trHeight w:val="170"/>
          <w:jc w:val="center"/>
        </w:trPr>
        <w:tc>
          <w:tcPr>
            <w:tcW w:w="3533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Оборот розничной торговли</w:t>
            </w:r>
          </w:p>
        </w:tc>
        <w:tc>
          <w:tcPr>
            <w:tcW w:w="152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млн.руб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6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3,9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4,2</w:t>
            </w:r>
          </w:p>
        </w:tc>
        <w:tc>
          <w:tcPr>
            <w:tcW w:w="1656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4,5</w:t>
            </w:r>
          </w:p>
        </w:tc>
      </w:tr>
    </w:tbl>
    <w:p w:rsidR="00476DC3" w:rsidRPr="000B31EB" w:rsidRDefault="00476DC3" w:rsidP="00476DC3">
      <w:pPr>
        <w:rPr>
          <w:rFonts w:ascii="Arial" w:hAnsi="Arial" w:cs="Arial"/>
          <w:b/>
          <w:highlight w:val="yellow"/>
        </w:rPr>
      </w:pP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Таблица 3.3. Перечень объектов перспективного строительства</w:t>
      </w:r>
    </w:p>
    <w:tbl>
      <w:tblPr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837"/>
        <w:gridCol w:w="1208"/>
        <w:gridCol w:w="1192"/>
        <w:gridCol w:w="1557"/>
        <w:gridCol w:w="1420"/>
      </w:tblGrid>
      <w:tr w:rsidR="00476DC3" w:rsidRPr="000B31EB" w:rsidTr="00E0005A">
        <w:trPr>
          <w:trHeight w:hRule="exact" w:val="286"/>
          <w:tblHeader/>
          <w:jc w:val="center"/>
        </w:trPr>
        <w:tc>
          <w:tcPr>
            <w:tcW w:w="607" w:type="dxa"/>
            <w:vMerge w:val="restart"/>
            <w:vAlign w:val="center"/>
          </w:tcPr>
          <w:p w:rsidR="00476DC3" w:rsidRPr="000B31EB" w:rsidRDefault="00476DC3" w:rsidP="00E0005A">
            <w:pPr>
              <w:tabs>
                <w:tab w:val="left" w:pos="3420"/>
              </w:tabs>
              <w:snapToGrid w:val="0"/>
              <w:spacing w:before="60" w:after="60" w:line="192" w:lineRule="auto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930" w:type="dxa"/>
            <w:vMerge w:val="restart"/>
            <w:vAlign w:val="center"/>
          </w:tcPr>
          <w:p w:rsidR="00476DC3" w:rsidRPr="000B31EB" w:rsidRDefault="00476DC3" w:rsidP="00E0005A">
            <w:pPr>
              <w:tabs>
                <w:tab w:val="left" w:pos="3420"/>
              </w:tabs>
              <w:snapToGrid w:val="0"/>
              <w:spacing w:before="60" w:after="60" w:line="192" w:lineRule="auto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233" w:type="dxa"/>
            <w:vMerge w:val="restart"/>
            <w:vAlign w:val="center"/>
          </w:tcPr>
          <w:p w:rsidR="00476DC3" w:rsidRPr="000B31EB" w:rsidRDefault="00476DC3" w:rsidP="00E0005A">
            <w:pPr>
              <w:snapToGrid w:val="0"/>
              <w:spacing w:before="60" w:after="60" w:line="192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0B31EB">
              <w:rPr>
                <w:rFonts w:ascii="Arial" w:hAnsi="Arial" w:cs="Arial"/>
                <w:b/>
              </w:rPr>
              <w:t>Срок  реализации</w:t>
            </w:r>
            <w:proofErr w:type="gramEnd"/>
          </w:p>
        </w:tc>
        <w:tc>
          <w:tcPr>
            <w:tcW w:w="1217" w:type="dxa"/>
            <w:vMerge w:val="restart"/>
            <w:vAlign w:val="center"/>
          </w:tcPr>
          <w:p w:rsidR="00476DC3" w:rsidRPr="000B31EB" w:rsidRDefault="00476DC3" w:rsidP="00E0005A">
            <w:pPr>
              <w:snapToGrid w:val="0"/>
              <w:spacing w:before="60" w:after="60" w:line="192" w:lineRule="auto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 xml:space="preserve">Объемы </w:t>
            </w:r>
            <w:proofErr w:type="spellStart"/>
            <w:proofErr w:type="gramStart"/>
            <w:r w:rsidRPr="000B31EB">
              <w:rPr>
                <w:rFonts w:ascii="Arial" w:hAnsi="Arial" w:cs="Arial"/>
                <w:b/>
              </w:rPr>
              <w:t>финанси-рования</w:t>
            </w:r>
            <w:proofErr w:type="spellEnd"/>
            <w:proofErr w:type="gramEnd"/>
            <w:r w:rsidRPr="000B31E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B31EB">
              <w:rPr>
                <w:rFonts w:ascii="Arial" w:hAnsi="Arial" w:cs="Arial"/>
                <w:b/>
              </w:rPr>
              <w:t>т.р</w:t>
            </w:r>
            <w:proofErr w:type="spellEnd"/>
            <w:r w:rsidRPr="000B31E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42" w:type="dxa"/>
            <w:gridSpan w:val="2"/>
            <w:vAlign w:val="center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 xml:space="preserve">В том числе, </w:t>
            </w:r>
            <w:proofErr w:type="spellStart"/>
            <w:r w:rsidRPr="000B31EB">
              <w:rPr>
                <w:rFonts w:ascii="Arial" w:hAnsi="Arial" w:cs="Arial"/>
                <w:b/>
              </w:rPr>
              <w:t>т.р</w:t>
            </w:r>
            <w:proofErr w:type="spellEnd"/>
            <w:r w:rsidRPr="000B31EB">
              <w:rPr>
                <w:rFonts w:ascii="Arial" w:hAnsi="Arial" w:cs="Arial"/>
                <w:b/>
              </w:rPr>
              <w:t>.</w:t>
            </w:r>
          </w:p>
        </w:tc>
      </w:tr>
      <w:tr w:rsidR="00476DC3" w:rsidRPr="000B31EB" w:rsidTr="00E0005A">
        <w:trPr>
          <w:tblHeader/>
          <w:jc w:val="center"/>
        </w:trPr>
        <w:tc>
          <w:tcPr>
            <w:tcW w:w="607" w:type="dxa"/>
            <w:vMerge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30" w:type="dxa"/>
            <w:vMerge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33" w:type="dxa"/>
            <w:vMerge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17" w:type="dxa"/>
            <w:vMerge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91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Областной бюджет</w:t>
            </w:r>
          </w:p>
        </w:tc>
        <w:tc>
          <w:tcPr>
            <w:tcW w:w="1451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0B31EB">
              <w:rPr>
                <w:rFonts w:ascii="Arial" w:hAnsi="Arial" w:cs="Arial"/>
                <w:b/>
              </w:rPr>
              <w:t>Местный  бюджет</w:t>
            </w:r>
            <w:proofErr w:type="gramEnd"/>
            <w:r w:rsidRPr="000B31EB">
              <w:rPr>
                <w:rFonts w:ascii="Arial" w:hAnsi="Arial" w:cs="Arial"/>
                <w:b/>
              </w:rPr>
              <w:t xml:space="preserve"> (районный)</w:t>
            </w:r>
          </w:p>
        </w:tc>
      </w:tr>
      <w:tr w:rsidR="00476DC3" w:rsidRPr="000B31EB" w:rsidTr="00E0005A">
        <w:trPr>
          <w:jc w:val="center"/>
        </w:trPr>
        <w:tc>
          <w:tcPr>
            <w:tcW w:w="607" w:type="dxa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</w:t>
            </w:r>
          </w:p>
        </w:tc>
        <w:tc>
          <w:tcPr>
            <w:tcW w:w="3930" w:type="dxa"/>
            <w:vAlign w:val="center"/>
          </w:tcPr>
          <w:p w:rsidR="00476DC3" w:rsidRPr="000B31EB" w:rsidRDefault="00476DC3" w:rsidP="00E0005A">
            <w:pPr>
              <w:autoSpaceDE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Содержание</w:t>
            </w:r>
            <w:r w:rsidRPr="000B31EB">
              <w:rPr>
                <w:rFonts w:ascii="Arial" w:hAnsi="Arial" w:cs="Arial"/>
                <w:color w:val="000000"/>
              </w:rPr>
              <w:t xml:space="preserve"> автомобильной дороги х. Горбатовский – х. Рубашкин</w:t>
            </w:r>
          </w:p>
        </w:tc>
        <w:tc>
          <w:tcPr>
            <w:tcW w:w="1233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 w:line="19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2021-2024</w:t>
            </w:r>
          </w:p>
        </w:tc>
        <w:tc>
          <w:tcPr>
            <w:tcW w:w="1217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1861,1</w:t>
            </w:r>
          </w:p>
        </w:tc>
        <w:tc>
          <w:tcPr>
            <w:tcW w:w="1591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1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 w:line="19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1861,1</w:t>
            </w:r>
          </w:p>
        </w:tc>
      </w:tr>
      <w:tr w:rsidR="00476DC3" w:rsidRPr="000B31EB" w:rsidTr="00E0005A">
        <w:trPr>
          <w:jc w:val="center"/>
        </w:trPr>
        <w:tc>
          <w:tcPr>
            <w:tcW w:w="607" w:type="dxa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</w:t>
            </w:r>
          </w:p>
        </w:tc>
        <w:tc>
          <w:tcPr>
            <w:tcW w:w="3930" w:type="dxa"/>
            <w:vAlign w:val="center"/>
          </w:tcPr>
          <w:p w:rsidR="00476DC3" w:rsidRPr="000B31EB" w:rsidRDefault="00476DC3" w:rsidP="00E0005A">
            <w:pPr>
              <w:autoSpaceDE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Реконструкция здания </w:t>
            </w:r>
            <w:r w:rsidRPr="000B31EB">
              <w:rPr>
                <w:rFonts w:ascii="Arial" w:hAnsi="Arial" w:cs="Arial"/>
                <w:color w:val="000000"/>
              </w:rPr>
              <w:t>Горбатовского КДЦ</w:t>
            </w:r>
          </w:p>
        </w:tc>
        <w:tc>
          <w:tcPr>
            <w:tcW w:w="1233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 w:line="19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</w:t>
            </w:r>
            <w:r w:rsidRPr="000B31EB"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1EB">
              <w:rPr>
                <w:rFonts w:ascii="Arial" w:hAnsi="Arial" w:cs="Arial"/>
              </w:rPr>
              <w:t>00</w:t>
            </w:r>
          </w:p>
        </w:tc>
        <w:tc>
          <w:tcPr>
            <w:tcW w:w="1591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51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 w:line="19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31EB">
              <w:rPr>
                <w:rFonts w:ascii="Arial" w:hAnsi="Arial" w:cs="Arial"/>
              </w:rPr>
              <w:t>00</w:t>
            </w:r>
          </w:p>
        </w:tc>
      </w:tr>
      <w:tr w:rsidR="00476DC3" w:rsidRPr="000B31EB" w:rsidTr="00E0005A">
        <w:trPr>
          <w:jc w:val="center"/>
        </w:trPr>
        <w:tc>
          <w:tcPr>
            <w:tcW w:w="607" w:type="dxa"/>
          </w:tcPr>
          <w:p w:rsidR="00476DC3" w:rsidRPr="000B31EB" w:rsidRDefault="00476DC3" w:rsidP="00E0005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930" w:type="dxa"/>
            <w:vAlign w:val="center"/>
          </w:tcPr>
          <w:p w:rsidR="00476DC3" w:rsidRPr="000B31EB" w:rsidRDefault="00476DC3" w:rsidP="00E0005A">
            <w:pPr>
              <w:autoSpaceDE w:val="0"/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0B31EB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33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 w:line="19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2021-202</w:t>
            </w:r>
            <w:r w:rsidRPr="000B31E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7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2161,1</w:t>
            </w:r>
          </w:p>
        </w:tc>
        <w:tc>
          <w:tcPr>
            <w:tcW w:w="1591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51" w:type="dxa"/>
            <w:vAlign w:val="center"/>
          </w:tcPr>
          <w:p w:rsidR="00476DC3" w:rsidRPr="000B31EB" w:rsidRDefault="00476DC3" w:rsidP="00E0005A">
            <w:pPr>
              <w:snapToGrid w:val="0"/>
              <w:spacing w:before="60" w:after="60" w:line="19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2161,1</w:t>
            </w:r>
          </w:p>
        </w:tc>
      </w:tr>
    </w:tbl>
    <w:p w:rsidR="00476DC3" w:rsidRPr="000B31EB" w:rsidRDefault="00476DC3" w:rsidP="00476DC3">
      <w:pPr>
        <w:pStyle w:val="1"/>
        <w:rPr>
          <w:rFonts w:ascii="Arial" w:hAnsi="Arial" w:cs="Arial"/>
          <w:sz w:val="24"/>
          <w:szCs w:val="24"/>
        </w:rPr>
      </w:pPr>
      <w:r w:rsidRPr="00320D83">
        <w:rPr>
          <w:highlight w:val="yellow"/>
        </w:rPr>
        <w:br w:type="page"/>
      </w:r>
      <w:bookmarkStart w:id="6" w:name="_Toc296504657"/>
      <w:r w:rsidRPr="000B31EB">
        <w:rPr>
          <w:rFonts w:ascii="Arial" w:hAnsi="Arial" w:cs="Arial"/>
          <w:sz w:val="24"/>
          <w:szCs w:val="24"/>
        </w:rPr>
        <w:lastRenderedPageBreak/>
        <w:t>АНАЛИЗ ТЕКУЩЕГО СОСТОЯНИЯ СКИ</w:t>
      </w:r>
      <w:bookmarkEnd w:id="6"/>
      <w:r w:rsidRPr="000B31EB">
        <w:rPr>
          <w:rFonts w:ascii="Arial" w:hAnsi="Arial" w:cs="Arial"/>
          <w:sz w:val="24"/>
          <w:szCs w:val="24"/>
        </w:rPr>
        <w:t xml:space="preserve"> Горбатовского сельского поселения</w:t>
      </w:r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Характеристика СКИ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В поселении функционируют основные типы СКИ: водоснабжение, электроснабжение, газоснабжение. 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Рисунок 4.1. Состав и взаимодействие элементов </w:t>
      </w:r>
      <w:proofErr w:type="gramStart"/>
      <w:r w:rsidRPr="000B31EB">
        <w:rPr>
          <w:rFonts w:ascii="Arial" w:hAnsi="Arial" w:cs="Arial"/>
        </w:rPr>
        <w:t>СКИ  Горбатовского</w:t>
      </w:r>
      <w:proofErr w:type="gramEnd"/>
      <w:r w:rsidRPr="000B31EB">
        <w:rPr>
          <w:rFonts w:ascii="Arial" w:hAnsi="Arial" w:cs="Arial"/>
        </w:rPr>
        <w:t xml:space="preserve"> сельского поселения</w:t>
      </w:r>
    </w:p>
    <w:p w:rsidR="00476DC3" w:rsidRPr="000B31EB" w:rsidRDefault="00476DC3" w:rsidP="00476DC3">
      <w:pPr>
        <w:jc w:val="center"/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noProof/>
          <w:lang w:eastAsia="ru-RU"/>
        </w:rPr>
        <mc:AlternateContent>
          <mc:Choice Requires="wpc">
            <w:drawing>
              <wp:inline distT="0" distB="0" distL="0" distR="0">
                <wp:extent cx="6324600" cy="3771900"/>
                <wp:effectExtent l="635" t="381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86043" y="343138"/>
                            <a:ext cx="1294786" cy="5710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DC3" w:rsidRDefault="00476DC3" w:rsidP="00476DC3">
                              <w:r>
                                <w:t>водозабор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4907" y="343138"/>
                            <a:ext cx="1371208" cy="57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DC3" w:rsidRDefault="00476DC3" w:rsidP="00476DC3">
                              <w:r>
                                <w:t>водоснабжение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514907" y="1371679"/>
                            <a:ext cx="1448509" cy="6094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DC3" w:rsidRDefault="00476DC3" w:rsidP="00476DC3">
                              <w:r>
                                <w:t>электроснабжение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648581" y="1371679"/>
                            <a:ext cx="1599597" cy="6094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DC3" w:rsidRDefault="00476DC3" w:rsidP="00476DC3">
                              <w:r>
                                <w:t>Магистральное электроснабжение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980830" y="571897"/>
                            <a:ext cx="5340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0475" y="914162"/>
                            <a:ext cx="914432" cy="800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2538" y="1714818"/>
                            <a:ext cx="6860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498pt;height:297pt;mso-position-horizontal-relative:char;mso-position-vertical-relative:line" coordsize="6324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46;height:37719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6860;top:3431;width:12948;height:571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G68MA&#10;AADaAAAADwAAAGRycy9kb3ducmV2LnhtbESPzWrDMBCE74W8g9hAb40cH9LgRAmlkJKDL3ZLQm6L&#10;tLHdWitjqf55+6pQ6HGYmW+Y/XGyrRio941jBetVAoJYO9NwpeDj/fS0BeEDssHWMSmYycPxsHjY&#10;Y2bcyAUNZahEhLDPUEEdQpdJ6XVNFv3KdcTRu7veYoiyr6TpcYxw28o0STbSYsNxocaOXmvSX+W3&#10;VWA+L6Wm4u121fP9OZ+H/LoNWqnH5fSyAxFoCv/hv/bZKEjh90q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CG68MAAADaAAAADwAAAAAAAAAAAAAAAACYAgAAZHJzL2Rv&#10;d25yZXYueG1sUEsFBgAAAAAEAAQA9QAAAIgDAAAAAA==&#10;">
                  <v:textbox>
                    <w:txbxContent>
                      <w:p w:rsidR="00476DC3" w:rsidRDefault="00476DC3" w:rsidP="00476DC3">
                        <w:r>
                          <w:t>водозабор</w:t>
                        </w:r>
                      </w:p>
                    </w:txbxContent>
                  </v:textbox>
                </v:shape>
                <v:rect id="Rectangle 5" o:spid="_x0000_s1029" style="position:absolute;left:25149;top:3431;width:13712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76DC3" w:rsidRDefault="00476DC3" w:rsidP="00476DC3">
                        <w:r>
                          <w:t>водоснабжение</w:t>
                        </w:r>
                      </w:p>
                    </w:txbxContent>
                  </v:textbox>
                </v:rect>
                <v:shape id="AutoShape 6" o:spid="_x0000_s1030" type="#_x0000_t109" style="position:absolute;left:25149;top:13716;width:14485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476DC3" w:rsidRDefault="00476DC3" w:rsidP="00476DC3">
                        <w:r>
                          <w:t>электроснабжение</w:t>
                        </w:r>
                      </w:p>
                    </w:txbxContent>
                  </v:textbox>
                </v:shape>
                <v:shape id="AutoShape 7" o:spid="_x0000_s1031" type="#_x0000_t109" style="position:absolute;left:46485;top:13716;width:15996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476DC3" w:rsidRDefault="00476DC3" w:rsidP="00476DC3">
                        <w:r>
                          <w:t>Магистральное электроснабжение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19808,5718" to="25149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9" o:spid="_x0000_s1033" style="position:absolute;flip:x y;visibility:visible;mso-wrap-style:square" from="16004,9141" to="25149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<v:stroke endarrow="block"/>
                </v:line>
                <v:line id="Line 10" o:spid="_x0000_s1034" style="position:absolute;flip:x;visibility:visible;mso-wrap-style:square" from="39625,17148" to="46485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476DC3" w:rsidRPr="000B31EB" w:rsidRDefault="00476DC3" w:rsidP="00476DC3">
      <w:pPr>
        <w:rPr>
          <w:rFonts w:ascii="Arial" w:hAnsi="Arial" w:cs="Arial"/>
          <w:b/>
          <w:highlight w:val="yellow"/>
        </w:rPr>
      </w:pPr>
    </w:p>
    <w:p w:rsidR="00476DC3" w:rsidRPr="000B31EB" w:rsidRDefault="00476DC3" w:rsidP="00476DC3">
      <w:pPr>
        <w:jc w:val="center"/>
        <w:rPr>
          <w:rFonts w:ascii="Arial" w:hAnsi="Arial" w:cs="Arial"/>
        </w:rPr>
      </w:pPr>
    </w:p>
    <w:p w:rsidR="00476DC3" w:rsidRPr="000B31EB" w:rsidRDefault="00476DC3" w:rsidP="00476DC3">
      <w:pPr>
        <w:jc w:val="center"/>
        <w:rPr>
          <w:rFonts w:ascii="Arial" w:hAnsi="Arial" w:cs="Arial"/>
        </w:rPr>
        <w:sectPr w:rsidR="00476DC3" w:rsidRPr="000B31EB" w:rsidSect="00F808A7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321" w:header="709" w:footer="731" w:gutter="0"/>
          <w:cols w:space="708"/>
          <w:titlePg/>
          <w:docGrid w:linePitch="360"/>
        </w:sectPr>
      </w:pPr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lastRenderedPageBreak/>
        <w:t>Тарифная политика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Рассмотрение и утверждение тарифов на жилищно-коммунальные услуги осуществляется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0B31EB">
          <w:rPr>
            <w:rFonts w:ascii="Arial" w:hAnsi="Arial" w:cs="Arial"/>
          </w:rPr>
          <w:t>2004 г</w:t>
        </w:r>
      </w:smartTag>
      <w:r w:rsidRPr="000B31EB">
        <w:rPr>
          <w:rFonts w:ascii="Arial" w:hAnsi="Arial" w:cs="Arial"/>
        </w:rPr>
        <w:t xml:space="preserve">. № 210-ФЗ «Об основах регулирования тарифов организаций коммунального комплекса». 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Регулированию подлежат следующие отрасли: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водоснабжение;</w:t>
      </w:r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Общие сведения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Таблица 4.2. Параметры СКИ Горбатовского сельского поселения</w:t>
      </w:r>
    </w:p>
    <w:tbl>
      <w:tblPr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95"/>
        <w:gridCol w:w="4787"/>
        <w:gridCol w:w="1653"/>
        <w:gridCol w:w="1237"/>
        <w:gridCol w:w="1441"/>
      </w:tblGrid>
      <w:tr w:rsidR="00476DC3" w:rsidRPr="000B31EB" w:rsidTr="00E0005A">
        <w:trPr>
          <w:tblHeader/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B31EB">
              <w:rPr>
                <w:rFonts w:ascii="Arial" w:eastAsia="Calibri" w:hAnsi="Arial" w:cs="Arial"/>
                <w:b/>
                <w:lang w:eastAsia="en-US"/>
              </w:rPr>
              <w:t>№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B31EB">
              <w:rPr>
                <w:rFonts w:ascii="Arial" w:eastAsia="Calibri" w:hAnsi="Arial" w:cs="Arial"/>
                <w:b/>
                <w:lang w:eastAsia="en-US"/>
              </w:rPr>
              <w:t>Показатель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B31EB">
              <w:rPr>
                <w:rFonts w:ascii="Arial" w:eastAsia="Calibri" w:hAnsi="Arial" w:cs="Arial"/>
                <w:b/>
                <w:lang w:eastAsia="en-US"/>
              </w:rPr>
              <w:t>Ед. изм.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B31EB">
              <w:rPr>
                <w:rFonts w:ascii="Arial" w:eastAsia="Calibri" w:hAnsi="Arial" w:cs="Arial"/>
                <w:b/>
                <w:lang w:eastAsia="en-US"/>
              </w:rPr>
              <w:t>2020 год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B31EB">
              <w:rPr>
                <w:rFonts w:ascii="Arial" w:eastAsia="Calibri" w:hAnsi="Arial" w:cs="Arial"/>
                <w:b/>
                <w:lang w:eastAsia="en-US"/>
              </w:rPr>
              <w:t>2021 год (оценка)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Общая площадь жилого фонда: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тыс.кв.м</w:t>
            </w:r>
            <w:proofErr w:type="spellEnd"/>
            <w:r w:rsidRPr="000B31E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11,7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11,7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Жилые дома (индивидуальные здания)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тыс.кв.м</w:t>
            </w:r>
            <w:proofErr w:type="spellEnd"/>
            <w:r w:rsidRPr="000B31E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11,7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11,7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Средняя обеспеченность населения жильем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кв.м</w:t>
            </w:r>
            <w:proofErr w:type="spellEnd"/>
            <w:r w:rsidRPr="000B31EB">
              <w:rPr>
                <w:rFonts w:ascii="Arial" w:eastAsia="Calibri" w:hAnsi="Arial" w:cs="Arial"/>
                <w:lang w:eastAsia="en-US"/>
              </w:rPr>
              <w:t>. на</w:t>
            </w:r>
          </w:p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1 жителя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21,8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21,8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 xml:space="preserve">Количество установленных   общедомовых приборов учета, </w:t>
            </w:r>
            <w:proofErr w:type="gramStart"/>
            <w:r w:rsidRPr="000B31EB">
              <w:rPr>
                <w:rFonts w:ascii="Arial" w:eastAsia="Calibri" w:hAnsi="Arial" w:cs="Arial"/>
                <w:lang w:eastAsia="en-US"/>
              </w:rPr>
              <w:t>всего:  в</w:t>
            </w:r>
            <w:proofErr w:type="gramEnd"/>
            <w:r w:rsidRPr="000B31EB">
              <w:rPr>
                <w:rFonts w:ascii="Arial" w:eastAsia="Calibri" w:hAnsi="Arial" w:cs="Arial"/>
                <w:lang w:eastAsia="en-US"/>
              </w:rPr>
              <w:t xml:space="preserve"> том числе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ind w:left="184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учета тепла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ind w:left="184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учета электроэнергии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ind w:left="184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учета водоснабжения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Количество установленных внутридомовых приборов учета холодной и горячей воды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 xml:space="preserve">Количество </w:t>
            </w:r>
            <w:proofErr w:type="gramStart"/>
            <w:r w:rsidRPr="000B31EB">
              <w:rPr>
                <w:rFonts w:ascii="Arial" w:eastAsia="Calibri" w:hAnsi="Arial" w:cs="Arial"/>
                <w:lang w:eastAsia="en-US"/>
              </w:rPr>
              <w:t>семей</w:t>
            </w:r>
            <w:proofErr w:type="gramEnd"/>
            <w:r w:rsidRPr="000B31EB">
              <w:rPr>
                <w:rFonts w:ascii="Arial" w:eastAsia="Calibri" w:hAnsi="Arial" w:cs="Arial"/>
                <w:lang w:eastAsia="en-US"/>
              </w:rPr>
              <w:t xml:space="preserve"> состоящих на учете для улучшения жилищных условий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476DC3" w:rsidRPr="000B31EB" w:rsidTr="00E0005A">
        <w:trPr>
          <w:jc w:val="center"/>
        </w:trPr>
        <w:tc>
          <w:tcPr>
            <w:tcW w:w="10030" w:type="dxa"/>
            <w:gridSpan w:val="5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b/>
                <w:lang w:eastAsia="en-US"/>
              </w:rPr>
              <w:t>ВОДОСНАБЖЕНИЕ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Водопроводы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Протяженность сетей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км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2,3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2,3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Мощность водопроводов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куб.м</w:t>
            </w:r>
            <w:proofErr w:type="spellEnd"/>
            <w:r w:rsidRPr="000B31EB">
              <w:rPr>
                <w:rFonts w:ascii="Arial" w:eastAsia="Calibri" w:hAnsi="Arial" w:cs="Arial"/>
                <w:lang w:eastAsia="en-US"/>
              </w:rPr>
              <w:t>./</w:t>
            </w: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сут</w:t>
            </w:r>
            <w:proofErr w:type="spellEnd"/>
            <w:r w:rsidRPr="000B31EB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12,5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12,5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Отпуск воды всем потребителям: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млн.куб.м</w:t>
            </w:r>
            <w:proofErr w:type="spellEnd"/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ind w:left="184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в том числе населению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тыс.куб.м</w:t>
            </w:r>
            <w:proofErr w:type="spellEnd"/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31,32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31,32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ind w:left="184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B31EB">
              <w:rPr>
                <w:rFonts w:ascii="Arial" w:eastAsia="Calibri" w:hAnsi="Arial" w:cs="Arial"/>
                <w:lang w:eastAsia="en-US"/>
              </w:rPr>
              <w:t xml:space="preserve">на  </w:t>
            </w: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хоз.бытовые</w:t>
            </w:r>
            <w:proofErr w:type="spellEnd"/>
            <w:proofErr w:type="gramEnd"/>
            <w:r w:rsidRPr="000B31EB">
              <w:rPr>
                <w:rFonts w:ascii="Arial" w:eastAsia="Calibri" w:hAnsi="Arial" w:cs="Arial"/>
                <w:lang w:eastAsia="en-US"/>
              </w:rPr>
              <w:t xml:space="preserve"> нужды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Тыс.куб.м</w:t>
            </w:r>
            <w:proofErr w:type="spellEnd"/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7,6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7,6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B31EB">
              <w:rPr>
                <w:rFonts w:ascii="Arial" w:eastAsia="Calibri" w:hAnsi="Arial" w:cs="Arial"/>
                <w:lang w:eastAsia="en-US"/>
              </w:rPr>
              <w:t>Потребление  воды</w:t>
            </w:r>
            <w:proofErr w:type="gramEnd"/>
            <w:r w:rsidRPr="000B31EB">
              <w:rPr>
                <w:rFonts w:ascii="Arial" w:eastAsia="Calibri" w:hAnsi="Arial" w:cs="Arial"/>
                <w:lang w:eastAsia="en-US"/>
              </w:rPr>
              <w:t xml:space="preserve"> (на 1 жителя), в </w:t>
            </w:r>
            <w:proofErr w:type="spellStart"/>
            <w:r w:rsidRPr="000B31EB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0B31EB">
              <w:rPr>
                <w:rFonts w:ascii="Arial" w:eastAsia="Calibri" w:hAnsi="Arial" w:cs="Arial"/>
                <w:lang w:eastAsia="en-US"/>
              </w:rPr>
              <w:t>.: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м3/год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ind w:left="184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фактическое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м3/год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34,36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34,36</w:t>
            </w:r>
          </w:p>
        </w:tc>
      </w:tr>
      <w:tr w:rsidR="00476DC3" w:rsidRPr="000B31EB" w:rsidTr="00E0005A">
        <w:trPr>
          <w:jc w:val="center"/>
        </w:trPr>
        <w:tc>
          <w:tcPr>
            <w:tcW w:w="707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7" w:type="dxa"/>
            <w:vAlign w:val="center"/>
          </w:tcPr>
          <w:p w:rsidR="00476DC3" w:rsidRPr="000B31EB" w:rsidRDefault="00476DC3" w:rsidP="00E0005A">
            <w:pPr>
              <w:spacing w:before="60" w:after="60"/>
              <w:ind w:left="184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нормативное</w:t>
            </w:r>
          </w:p>
        </w:tc>
        <w:tc>
          <w:tcPr>
            <w:tcW w:w="1670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м3/год</w:t>
            </w:r>
          </w:p>
        </w:tc>
        <w:tc>
          <w:tcPr>
            <w:tcW w:w="1261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51,8</w:t>
            </w:r>
          </w:p>
        </w:tc>
        <w:tc>
          <w:tcPr>
            <w:tcW w:w="1455" w:type="dxa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eastAsia="Calibri" w:hAnsi="Arial" w:cs="Arial"/>
                <w:lang w:eastAsia="en-US"/>
              </w:rPr>
            </w:pPr>
            <w:r w:rsidRPr="000B31EB">
              <w:rPr>
                <w:rFonts w:ascii="Arial" w:eastAsia="Calibri" w:hAnsi="Arial" w:cs="Arial"/>
                <w:lang w:eastAsia="en-US"/>
              </w:rPr>
              <w:t>51,8</w:t>
            </w:r>
          </w:p>
        </w:tc>
      </w:tr>
    </w:tbl>
    <w:p w:rsidR="00476DC3" w:rsidRPr="000B31EB" w:rsidRDefault="00476DC3" w:rsidP="00476DC3">
      <w:pPr>
        <w:rPr>
          <w:rFonts w:ascii="Arial" w:hAnsi="Arial" w:cs="Arial"/>
          <w:highlight w:val="yellow"/>
        </w:rPr>
      </w:pPr>
    </w:p>
    <w:p w:rsidR="00476DC3" w:rsidRPr="000B31EB" w:rsidRDefault="00476DC3" w:rsidP="00476DC3">
      <w:pPr>
        <w:pStyle w:val="1"/>
        <w:rPr>
          <w:rFonts w:ascii="Arial" w:hAnsi="Arial" w:cs="Arial"/>
          <w:sz w:val="24"/>
          <w:szCs w:val="24"/>
        </w:rPr>
      </w:pPr>
      <w:r w:rsidRPr="000B31EB">
        <w:rPr>
          <w:rFonts w:ascii="Arial" w:hAnsi="Arial" w:cs="Arial"/>
          <w:sz w:val="24"/>
          <w:szCs w:val="24"/>
          <w:highlight w:val="yellow"/>
        </w:rPr>
        <w:br w:type="page"/>
      </w:r>
      <w:bookmarkStart w:id="7" w:name="_Toc296504658"/>
      <w:r w:rsidRPr="000B31EB">
        <w:rPr>
          <w:rFonts w:ascii="Arial" w:hAnsi="Arial" w:cs="Arial"/>
          <w:sz w:val="24"/>
          <w:szCs w:val="24"/>
        </w:rPr>
        <w:lastRenderedPageBreak/>
        <w:t>КОМПЛЕКСНОЕ РАЗВИТИЕ СИСТЕМ ВОДОСНАБЖЕНИЯ</w:t>
      </w:r>
      <w:bookmarkEnd w:id="7"/>
    </w:p>
    <w:p w:rsidR="00476DC3" w:rsidRPr="000B31EB" w:rsidRDefault="00476DC3" w:rsidP="00476DC3">
      <w:pPr>
        <w:pStyle w:val="a1"/>
        <w:rPr>
          <w:rFonts w:ascii="Arial" w:hAnsi="Arial" w:cs="Arial"/>
          <w:sz w:val="24"/>
          <w:szCs w:val="24"/>
        </w:rPr>
      </w:pPr>
      <w:bookmarkStart w:id="8" w:name="_Toc296504659"/>
      <w:r w:rsidRPr="000B31EB">
        <w:rPr>
          <w:rFonts w:ascii="Arial" w:hAnsi="Arial" w:cs="Arial"/>
          <w:sz w:val="24"/>
          <w:szCs w:val="24"/>
        </w:rPr>
        <w:t>Анализ существующей организации систем водоснабжения</w:t>
      </w:r>
      <w:bookmarkEnd w:id="8"/>
    </w:p>
    <w:p w:rsidR="00476DC3" w:rsidRPr="000B31EB" w:rsidRDefault="00476DC3" w:rsidP="00476DC3">
      <w:pPr>
        <w:ind w:firstLine="142"/>
        <w:rPr>
          <w:rFonts w:ascii="Arial" w:hAnsi="Arial" w:cs="Arial"/>
          <w:highlight w:val="yellow"/>
        </w:rPr>
      </w:pP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Таблица 5.1. Общие сведения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939"/>
        <w:gridCol w:w="5874"/>
      </w:tblGrid>
      <w:tr w:rsidR="00476DC3" w:rsidRPr="000B31EB" w:rsidTr="00E0005A">
        <w:trPr>
          <w:trHeight w:val="20"/>
          <w:jc w:val="center"/>
        </w:trPr>
        <w:tc>
          <w:tcPr>
            <w:tcW w:w="3948" w:type="dxa"/>
          </w:tcPr>
          <w:p w:rsidR="00476DC3" w:rsidRPr="000B31EB" w:rsidRDefault="00476DC3" w:rsidP="00E0005A">
            <w:pPr>
              <w:pStyle w:val="af3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5892" w:type="dxa"/>
          </w:tcPr>
          <w:p w:rsidR="00476DC3" w:rsidRPr="000B31EB" w:rsidRDefault="00476DC3" w:rsidP="00E0005A">
            <w:pPr>
              <w:pStyle w:val="af3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Характеристика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3948" w:type="dxa"/>
          </w:tcPr>
          <w:p w:rsidR="00476DC3" w:rsidRPr="000B31EB" w:rsidRDefault="00476DC3" w:rsidP="00E0005A">
            <w:pPr>
              <w:pStyle w:val="af3"/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Собственник водозаборов и водопроводных сетей</w:t>
            </w:r>
          </w:p>
        </w:tc>
        <w:tc>
          <w:tcPr>
            <w:tcW w:w="5892" w:type="dxa"/>
          </w:tcPr>
          <w:p w:rsidR="00476DC3" w:rsidRPr="000B31EB" w:rsidRDefault="00476DC3" w:rsidP="00E0005A">
            <w:pPr>
              <w:pStyle w:val="af3"/>
              <w:spacing w:before="60" w:after="60"/>
              <w:jc w:val="left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Администрация Горбатовского сельского поселения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3948" w:type="dxa"/>
          </w:tcPr>
          <w:p w:rsidR="00476DC3" w:rsidRPr="000B31EB" w:rsidRDefault="00476DC3" w:rsidP="00E0005A">
            <w:pPr>
              <w:pStyle w:val="af3"/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Обслуживающие организации</w:t>
            </w:r>
          </w:p>
        </w:tc>
        <w:tc>
          <w:tcPr>
            <w:tcW w:w="5892" w:type="dxa"/>
          </w:tcPr>
          <w:p w:rsidR="00476DC3" w:rsidRPr="000B31EB" w:rsidRDefault="00476DC3" w:rsidP="00E0005A">
            <w:pPr>
              <w:pStyle w:val="af3"/>
              <w:spacing w:before="60" w:after="60"/>
              <w:jc w:val="left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 НОТ «Горбатовское»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3948" w:type="dxa"/>
          </w:tcPr>
          <w:p w:rsidR="00476DC3" w:rsidRPr="000B31EB" w:rsidRDefault="00476DC3" w:rsidP="00E0005A">
            <w:pPr>
              <w:pStyle w:val="af3"/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Количество водопроводов, </w:t>
            </w:r>
            <w:proofErr w:type="spellStart"/>
            <w:r w:rsidRPr="000B31EB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5892" w:type="dxa"/>
          </w:tcPr>
          <w:p w:rsidR="00476DC3" w:rsidRPr="000B31EB" w:rsidRDefault="00476DC3" w:rsidP="00E0005A">
            <w:pPr>
              <w:pStyle w:val="af3"/>
              <w:spacing w:before="60" w:after="60"/>
              <w:jc w:val="left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3948" w:type="dxa"/>
          </w:tcPr>
          <w:p w:rsidR="00476DC3" w:rsidRPr="000B31EB" w:rsidRDefault="00476DC3" w:rsidP="00E0005A">
            <w:pPr>
              <w:pStyle w:val="af3"/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Протяженность водопроводных сетей, км </w:t>
            </w:r>
          </w:p>
        </w:tc>
        <w:tc>
          <w:tcPr>
            <w:tcW w:w="5892" w:type="dxa"/>
          </w:tcPr>
          <w:p w:rsidR="00476DC3" w:rsidRPr="000B31EB" w:rsidRDefault="00476DC3" w:rsidP="00E0005A">
            <w:pPr>
              <w:pStyle w:val="af3"/>
              <w:spacing w:before="60" w:after="60"/>
              <w:jc w:val="left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2,3</w:t>
            </w:r>
          </w:p>
        </w:tc>
      </w:tr>
    </w:tbl>
    <w:p w:rsidR="00476DC3" w:rsidRPr="000B31EB" w:rsidRDefault="00476DC3" w:rsidP="00476DC3">
      <w:pPr>
        <w:pStyle w:val="af3"/>
        <w:jc w:val="left"/>
        <w:rPr>
          <w:rFonts w:ascii="Arial" w:hAnsi="Arial" w:cs="Arial"/>
          <w:highlight w:val="yellow"/>
        </w:rPr>
      </w:pPr>
    </w:p>
    <w:p w:rsidR="00476DC3" w:rsidRPr="000B31EB" w:rsidRDefault="00476DC3" w:rsidP="00476DC3">
      <w:pPr>
        <w:jc w:val="center"/>
        <w:rPr>
          <w:rFonts w:ascii="Arial" w:hAnsi="Arial" w:cs="Arial"/>
        </w:rPr>
      </w:pPr>
    </w:p>
    <w:p w:rsidR="00476DC3" w:rsidRPr="000B31EB" w:rsidRDefault="00476DC3" w:rsidP="00476DC3">
      <w:pPr>
        <w:pStyle w:val="af3"/>
        <w:rPr>
          <w:rFonts w:ascii="Arial" w:hAnsi="Arial" w:cs="Arial"/>
          <w:highlight w:val="yellow"/>
        </w:rPr>
      </w:pPr>
    </w:p>
    <w:p w:rsidR="00476DC3" w:rsidRPr="000B31EB" w:rsidRDefault="00476DC3" w:rsidP="00476DC3">
      <w:pPr>
        <w:rPr>
          <w:rFonts w:ascii="Arial" w:hAnsi="Arial" w:cs="Arial"/>
          <w:highlight w:val="yellow"/>
        </w:rPr>
      </w:pPr>
      <w:r w:rsidRPr="000B31EB">
        <w:rPr>
          <w:rFonts w:ascii="Arial" w:hAnsi="Arial" w:cs="Arial"/>
          <w:highlight w:val="yellow"/>
        </w:rPr>
        <w:br w:type="page"/>
      </w:r>
    </w:p>
    <w:p w:rsidR="00476DC3" w:rsidRPr="000B31EB" w:rsidRDefault="00476DC3" w:rsidP="00476DC3">
      <w:pPr>
        <w:pStyle w:val="a1"/>
        <w:rPr>
          <w:rFonts w:ascii="Arial" w:hAnsi="Arial" w:cs="Arial"/>
          <w:sz w:val="24"/>
          <w:szCs w:val="24"/>
        </w:rPr>
      </w:pPr>
      <w:bookmarkStart w:id="9" w:name="_Toc296504660"/>
      <w:r w:rsidRPr="000B31EB">
        <w:rPr>
          <w:rFonts w:ascii="Arial" w:hAnsi="Arial" w:cs="Arial"/>
          <w:sz w:val="24"/>
          <w:szCs w:val="24"/>
        </w:rPr>
        <w:lastRenderedPageBreak/>
        <w:t>Характеристики источников водоснабжения по населенным пунктам</w:t>
      </w:r>
      <w:bookmarkEnd w:id="9"/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Хутор Горбатовский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Таблица 5.2. Общие сведения   </w:t>
      </w:r>
    </w:p>
    <w:tbl>
      <w:tblPr>
        <w:tblW w:w="49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08"/>
        <w:gridCol w:w="4905"/>
      </w:tblGrid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Характеристика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Собственник водозаборов и водопроводных сетей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Администрация Горбатовского сельского поселения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Обслуживающие организации (перечислить)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НОТ «Горбатовский»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Водозаборные станции (открытые, скважинные), шт.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Скважинные – 2 шт.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Водоочистные сооружения, шт.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-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Протяженность сетей, км.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,3 км"/>
              </w:smartTagPr>
              <w:r w:rsidRPr="000B31EB">
                <w:rPr>
                  <w:rFonts w:ascii="Arial" w:hAnsi="Arial" w:cs="Arial"/>
                </w:rPr>
                <w:t>2,3 км</w:t>
              </w:r>
            </w:smartTag>
            <w:r w:rsidRPr="000B31EB">
              <w:rPr>
                <w:rFonts w:ascii="Arial" w:hAnsi="Arial" w:cs="Arial"/>
              </w:rPr>
              <w:t>.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Насосные станции, шт.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-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Колодцы, шт.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12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Задвижки, шт.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3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Насосы, шт.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4691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Электродвигатели, шт.</w:t>
            </w:r>
          </w:p>
        </w:tc>
        <w:tc>
          <w:tcPr>
            <w:tcW w:w="4689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-</w:t>
            </w:r>
          </w:p>
        </w:tc>
      </w:tr>
    </w:tbl>
    <w:p w:rsidR="00476DC3" w:rsidRPr="000B31EB" w:rsidRDefault="00476DC3" w:rsidP="00476DC3">
      <w:pPr>
        <w:rPr>
          <w:rStyle w:val="af2"/>
          <w:rFonts w:ascii="Arial" w:hAnsi="Arial" w:cs="Arial"/>
          <w:i w:val="0"/>
        </w:rPr>
      </w:pPr>
    </w:p>
    <w:p w:rsidR="00476DC3" w:rsidRPr="000B31EB" w:rsidRDefault="00476DC3" w:rsidP="00476DC3">
      <w:pPr>
        <w:rPr>
          <w:rFonts w:ascii="Arial" w:hAnsi="Arial" w:cs="Arial"/>
          <w:iCs/>
        </w:rPr>
      </w:pPr>
      <w:r w:rsidRPr="000B31EB">
        <w:rPr>
          <w:rFonts w:ascii="Arial" w:hAnsi="Arial" w:cs="Arial"/>
        </w:rPr>
        <w:t xml:space="preserve"> </w:t>
      </w:r>
      <w:proofErr w:type="gramStart"/>
      <w:r w:rsidRPr="000B31EB">
        <w:rPr>
          <w:rFonts w:ascii="Arial" w:hAnsi="Arial" w:cs="Arial"/>
        </w:rPr>
        <w:t xml:space="preserve">С </w:t>
      </w:r>
      <w:r w:rsidRPr="000B31EB">
        <w:rPr>
          <w:rFonts w:ascii="Arial" w:hAnsi="Arial" w:cs="Arial"/>
          <w:iCs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0B31EB">
          <w:rPr>
            <w:rFonts w:ascii="Arial" w:hAnsi="Arial" w:cs="Arial"/>
            <w:iCs/>
          </w:rPr>
          <w:t>2003</w:t>
        </w:r>
        <w:proofErr w:type="gramEnd"/>
        <w:r w:rsidRPr="000B31EB">
          <w:rPr>
            <w:rFonts w:ascii="Arial" w:hAnsi="Arial" w:cs="Arial"/>
            <w:iCs/>
          </w:rPr>
          <w:t xml:space="preserve"> г</w:t>
        </w:r>
      </w:smartTag>
      <w:r w:rsidRPr="000B31EB">
        <w:rPr>
          <w:rFonts w:ascii="Arial" w:hAnsi="Arial" w:cs="Arial"/>
          <w:iCs/>
        </w:rPr>
        <w:t xml:space="preserve">. водопроводную систему х. Горбатовский обслуживает организация НОТ «Горбатовское». Количество сотрудников – 1 человек </w:t>
      </w:r>
      <w:proofErr w:type="gramStart"/>
      <w:r w:rsidRPr="000B31EB">
        <w:rPr>
          <w:rFonts w:ascii="Arial" w:hAnsi="Arial" w:cs="Arial"/>
          <w:iCs/>
        </w:rPr>
        <w:t>( председатель</w:t>
      </w:r>
      <w:proofErr w:type="gramEnd"/>
      <w:r w:rsidRPr="000B31EB">
        <w:rPr>
          <w:rFonts w:ascii="Arial" w:hAnsi="Arial" w:cs="Arial"/>
          <w:iCs/>
        </w:rPr>
        <w:t>),  материально-техническое  оснащение практически отсутствует, разрабатывается программа развития и энергосбережения на 2021г-2024 г.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Водоснабжение х. Горбатовский </w:t>
      </w:r>
      <w:proofErr w:type="gramStart"/>
      <w:r w:rsidRPr="000B31EB">
        <w:rPr>
          <w:rFonts w:ascii="Arial" w:hAnsi="Arial" w:cs="Arial"/>
        </w:rPr>
        <w:t>осуществляется  из</w:t>
      </w:r>
      <w:proofErr w:type="gramEnd"/>
      <w:r w:rsidRPr="000B31EB">
        <w:rPr>
          <w:rFonts w:ascii="Arial" w:hAnsi="Arial" w:cs="Arial"/>
        </w:rPr>
        <w:t xml:space="preserve"> 2-х скважин , расположенных на территории х. Горбатовский.  Вода из скважин поступает в водонапорные башни, оборудованные автоматическим устройством отключения насоса. От башни вода самотеком поступает в разводящую сеть и подается потребителям.</w:t>
      </w:r>
    </w:p>
    <w:p w:rsidR="00476DC3" w:rsidRPr="000B31EB" w:rsidRDefault="00476DC3" w:rsidP="00476DC3">
      <w:pPr>
        <w:rPr>
          <w:rFonts w:ascii="Arial" w:hAnsi="Arial" w:cs="Arial"/>
          <w:b/>
        </w:rPr>
      </w:pPr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Таблица 5.3. Техническое состояние систем (описание, основные проблемы)</w:t>
      </w:r>
    </w:p>
    <w:tbl>
      <w:tblPr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925"/>
        <w:gridCol w:w="4888"/>
      </w:tblGrid>
      <w:tr w:rsidR="00476DC3" w:rsidRPr="000B31EB" w:rsidTr="00E0005A">
        <w:trPr>
          <w:trHeight w:val="20"/>
          <w:jc w:val="center"/>
        </w:trPr>
        <w:tc>
          <w:tcPr>
            <w:tcW w:w="5018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Наименование элемента</w:t>
            </w:r>
          </w:p>
        </w:tc>
        <w:tc>
          <w:tcPr>
            <w:tcW w:w="5012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% износа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5018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Водозаборы</w:t>
            </w:r>
          </w:p>
        </w:tc>
        <w:tc>
          <w:tcPr>
            <w:tcW w:w="5012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40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5018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Водоводы</w:t>
            </w:r>
          </w:p>
        </w:tc>
        <w:tc>
          <w:tcPr>
            <w:tcW w:w="5012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-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5018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Водопроводные сети</w:t>
            </w:r>
          </w:p>
        </w:tc>
        <w:tc>
          <w:tcPr>
            <w:tcW w:w="5012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80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5018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Насосные станции </w:t>
            </w:r>
          </w:p>
        </w:tc>
        <w:tc>
          <w:tcPr>
            <w:tcW w:w="5012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-</w:t>
            </w:r>
          </w:p>
        </w:tc>
      </w:tr>
      <w:tr w:rsidR="00476DC3" w:rsidRPr="000B31EB" w:rsidTr="00E0005A">
        <w:trPr>
          <w:trHeight w:val="20"/>
          <w:jc w:val="center"/>
        </w:trPr>
        <w:tc>
          <w:tcPr>
            <w:tcW w:w="5018" w:type="dxa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Очистные сооружения</w:t>
            </w:r>
          </w:p>
        </w:tc>
        <w:tc>
          <w:tcPr>
            <w:tcW w:w="5012" w:type="dxa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-</w:t>
            </w:r>
          </w:p>
        </w:tc>
      </w:tr>
    </w:tbl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Таблица 5.4. Аварийность</w:t>
      </w:r>
    </w:p>
    <w:tbl>
      <w:tblPr>
        <w:tblW w:w="4821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669"/>
        <w:gridCol w:w="1986"/>
      </w:tblGrid>
      <w:tr w:rsidR="00476DC3" w:rsidRPr="000B31EB" w:rsidTr="00E0005A">
        <w:trPr>
          <w:trHeight w:val="113"/>
          <w:jc w:val="center"/>
        </w:trPr>
        <w:tc>
          <w:tcPr>
            <w:tcW w:w="784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02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2020</w:t>
            </w:r>
          </w:p>
        </w:tc>
      </w:tr>
      <w:tr w:rsidR="00476DC3" w:rsidRPr="000B31EB" w:rsidTr="00E0005A">
        <w:trPr>
          <w:trHeight w:val="113"/>
          <w:jc w:val="center"/>
        </w:trPr>
        <w:tc>
          <w:tcPr>
            <w:tcW w:w="784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Кол-во аварий на водозаборах, очистных сооружениях, насосных станциях</w:t>
            </w:r>
          </w:p>
        </w:tc>
        <w:tc>
          <w:tcPr>
            <w:tcW w:w="202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-</w:t>
            </w:r>
          </w:p>
        </w:tc>
      </w:tr>
      <w:tr w:rsidR="00476DC3" w:rsidRPr="000B31EB" w:rsidTr="00E0005A">
        <w:trPr>
          <w:trHeight w:val="113"/>
          <w:jc w:val="center"/>
        </w:trPr>
        <w:tc>
          <w:tcPr>
            <w:tcW w:w="784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Кол-во порывов на сетях, шт.</w:t>
            </w:r>
          </w:p>
        </w:tc>
        <w:tc>
          <w:tcPr>
            <w:tcW w:w="202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</w:t>
            </w:r>
          </w:p>
        </w:tc>
      </w:tr>
    </w:tbl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Таблица 5.5. Характеристика учета в подключенных к СКИ объектах</w:t>
      </w:r>
    </w:p>
    <w:tbl>
      <w:tblPr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849"/>
        <w:gridCol w:w="2481"/>
        <w:gridCol w:w="2483"/>
      </w:tblGrid>
      <w:tr w:rsidR="00476DC3" w:rsidRPr="000B31EB" w:rsidTr="00E0005A">
        <w:trPr>
          <w:trHeight w:val="113"/>
          <w:jc w:val="center"/>
        </w:trPr>
        <w:tc>
          <w:tcPr>
            <w:tcW w:w="3699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893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9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Установлено</w:t>
            </w:r>
          </w:p>
        </w:tc>
      </w:tr>
      <w:tr w:rsidR="00476DC3" w:rsidRPr="000B31EB" w:rsidTr="00E0005A">
        <w:trPr>
          <w:trHeight w:val="113"/>
          <w:jc w:val="center"/>
        </w:trPr>
        <w:tc>
          <w:tcPr>
            <w:tcW w:w="3699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lastRenderedPageBreak/>
              <w:t>Точки учета на водозаборах</w:t>
            </w:r>
          </w:p>
        </w:tc>
        <w:tc>
          <w:tcPr>
            <w:tcW w:w="1893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</w:t>
            </w:r>
          </w:p>
        </w:tc>
        <w:tc>
          <w:tcPr>
            <w:tcW w:w="189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</w:t>
            </w:r>
          </w:p>
        </w:tc>
      </w:tr>
      <w:tr w:rsidR="00476DC3" w:rsidRPr="000B31EB" w:rsidTr="00E0005A">
        <w:trPr>
          <w:trHeight w:val="113"/>
          <w:jc w:val="center"/>
        </w:trPr>
        <w:tc>
          <w:tcPr>
            <w:tcW w:w="3699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Точки учета на водоочистных</w:t>
            </w:r>
          </w:p>
        </w:tc>
        <w:tc>
          <w:tcPr>
            <w:tcW w:w="1893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</w:t>
            </w:r>
          </w:p>
        </w:tc>
        <w:tc>
          <w:tcPr>
            <w:tcW w:w="189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</w:t>
            </w:r>
          </w:p>
        </w:tc>
      </w:tr>
      <w:tr w:rsidR="00476DC3" w:rsidRPr="000B31EB" w:rsidTr="00E0005A">
        <w:trPr>
          <w:trHeight w:val="113"/>
          <w:jc w:val="center"/>
        </w:trPr>
        <w:tc>
          <w:tcPr>
            <w:tcW w:w="3699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МКД</w:t>
            </w:r>
          </w:p>
        </w:tc>
        <w:tc>
          <w:tcPr>
            <w:tcW w:w="1893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</w:t>
            </w:r>
          </w:p>
        </w:tc>
        <w:tc>
          <w:tcPr>
            <w:tcW w:w="189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</w:t>
            </w:r>
          </w:p>
        </w:tc>
      </w:tr>
      <w:tr w:rsidR="00476DC3" w:rsidRPr="000B31EB" w:rsidTr="00E0005A">
        <w:trPr>
          <w:trHeight w:val="113"/>
          <w:jc w:val="center"/>
        </w:trPr>
        <w:tc>
          <w:tcPr>
            <w:tcW w:w="3699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Индивидуальные жилые дома</w:t>
            </w:r>
          </w:p>
        </w:tc>
        <w:tc>
          <w:tcPr>
            <w:tcW w:w="1893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100</w:t>
            </w:r>
          </w:p>
        </w:tc>
        <w:tc>
          <w:tcPr>
            <w:tcW w:w="189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15</w:t>
            </w:r>
          </w:p>
        </w:tc>
      </w:tr>
      <w:tr w:rsidR="00476DC3" w:rsidRPr="000B31EB" w:rsidTr="00E0005A">
        <w:trPr>
          <w:trHeight w:val="113"/>
          <w:jc w:val="center"/>
        </w:trPr>
        <w:tc>
          <w:tcPr>
            <w:tcW w:w="3699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Здания, где размещаются бюджетные учреждения</w:t>
            </w:r>
          </w:p>
        </w:tc>
        <w:tc>
          <w:tcPr>
            <w:tcW w:w="1893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</w:t>
            </w:r>
          </w:p>
        </w:tc>
        <w:tc>
          <w:tcPr>
            <w:tcW w:w="189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</w:t>
            </w:r>
          </w:p>
        </w:tc>
      </w:tr>
      <w:tr w:rsidR="00476DC3" w:rsidRPr="000B31EB" w:rsidTr="00E0005A">
        <w:trPr>
          <w:trHeight w:val="113"/>
          <w:jc w:val="center"/>
        </w:trPr>
        <w:tc>
          <w:tcPr>
            <w:tcW w:w="3699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Здания организаций</w:t>
            </w:r>
          </w:p>
        </w:tc>
        <w:tc>
          <w:tcPr>
            <w:tcW w:w="1893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</w:t>
            </w:r>
          </w:p>
        </w:tc>
        <w:tc>
          <w:tcPr>
            <w:tcW w:w="1894" w:type="dxa"/>
            <w:vAlign w:val="center"/>
          </w:tcPr>
          <w:p w:rsidR="00476DC3" w:rsidRPr="000B31EB" w:rsidRDefault="00476DC3" w:rsidP="00E0005A">
            <w:pPr>
              <w:tabs>
                <w:tab w:val="left" w:pos="284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0</w:t>
            </w:r>
          </w:p>
        </w:tc>
      </w:tr>
    </w:tbl>
    <w:p w:rsidR="00476DC3" w:rsidRPr="000B31EB" w:rsidRDefault="00476DC3" w:rsidP="00476DC3">
      <w:pPr>
        <w:rPr>
          <w:rFonts w:ascii="Arial" w:hAnsi="Arial" w:cs="Arial"/>
        </w:rPr>
      </w:pP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В </w:t>
      </w:r>
      <w:proofErr w:type="gramStart"/>
      <w:r w:rsidRPr="000B31EB">
        <w:rPr>
          <w:rFonts w:ascii="Arial" w:hAnsi="Arial" w:cs="Arial"/>
        </w:rPr>
        <w:t>индивидуальных  жилых</w:t>
      </w:r>
      <w:proofErr w:type="gramEnd"/>
      <w:r w:rsidRPr="000B31EB">
        <w:rPr>
          <w:rFonts w:ascii="Arial" w:hAnsi="Arial" w:cs="Arial"/>
        </w:rPr>
        <w:t xml:space="preserve"> домах , бюджетных организациях установлены приборы учета типа – СГВ-15, СГВ-20, СКВГ-90-3/15 СКВ-15/3, В 2021-2024 гг. планируется полностью перейти на учет воды по приборам учета.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Тарифы на 2021г.,2024г. были установлены органами местного самоуправления, согласно заключения комиссии по регулированию тарифов Серафимовичского муниципального района, с учетом предельных индексов изменения платы граждан за коммунальные услуги. Отсутствует инвестиционная составляющая </w:t>
      </w:r>
      <w:proofErr w:type="gramStart"/>
      <w:r w:rsidRPr="000B31EB">
        <w:rPr>
          <w:rFonts w:ascii="Arial" w:hAnsi="Arial" w:cs="Arial"/>
        </w:rPr>
        <w:t>и  плата</w:t>
      </w:r>
      <w:proofErr w:type="gramEnd"/>
      <w:r w:rsidRPr="000B31EB">
        <w:rPr>
          <w:rFonts w:ascii="Arial" w:hAnsi="Arial" w:cs="Arial"/>
        </w:rPr>
        <w:t xml:space="preserve"> за подключение. Тарифы на 2021 год для НОТ «</w:t>
      </w:r>
      <w:proofErr w:type="gramStart"/>
      <w:r w:rsidRPr="000B31EB">
        <w:rPr>
          <w:rFonts w:ascii="Arial" w:hAnsi="Arial" w:cs="Arial"/>
        </w:rPr>
        <w:t>Горбатовское»  будут</w:t>
      </w:r>
      <w:proofErr w:type="gramEnd"/>
      <w:r w:rsidRPr="000B31EB">
        <w:rPr>
          <w:rFonts w:ascii="Arial" w:hAnsi="Arial" w:cs="Arial"/>
        </w:rPr>
        <w:t xml:space="preserve"> регулироваться УРТ Администрации  Волгоградской области.</w:t>
      </w:r>
    </w:p>
    <w:p w:rsidR="00476DC3" w:rsidRPr="000B31EB" w:rsidRDefault="00476DC3" w:rsidP="00476DC3">
      <w:pPr>
        <w:rPr>
          <w:rFonts w:ascii="Arial" w:hAnsi="Arial" w:cs="Arial"/>
        </w:rPr>
      </w:pPr>
      <w:proofErr w:type="gramStart"/>
      <w:r w:rsidRPr="000B31EB">
        <w:rPr>
          <w:rFonts w:ascii="Arial" w:hAnsi="Arial" w:cs="Arial"/>
        </w:rPr>
        <w:t>Планируется  реконструкция</w:t>
      </w:r>
      <w:proofErr w:type="gramEnd"/>
      <w:r w:rsidRPr="000B31EB">
        <w:rPr>
          <w:rFonts w:ascii="Arial" w:hAnsi="Arial" w:cs="Arial"/>
        </w:rPr>
        <w:t xml:space="preserve"> действующего магистрального водопровода, что приведет к сокращению потерь, экономии электроэнергии и предоставлению качественных коммунальных услуг. </w:t>
      </w:r>
    </w:p>
    <w:p w:rsidR="00476DC3" w:rsidRPr="000B31EB" w:rsidRDefault="00476DC3" w:rsidP="00476DC3">
      <w:pPr>
        <w:rPr>
          <w:rFonts w:ascii="Arial" w:hAnsi="Arial" w:cs="Arial"/>
          <w:b/>
        </w:rPr>
      </w:pPr>
    </w:p>
    <w:p w:rsidR="00476DC3" w:rsidRPr="000B31EB" w:rsidRDefault="00476DC3" w:rsidP="00476DC3">
      <w:pPr>
        <w:ind w:left="360"/>
        <w:jc w:val="center"/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Таблица 5.6. Основные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8"/>
        <w:gridCol w:w="2388"/>
        <w:gridCol w:w="2391"/>
      </w:tblGrid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№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Экономически обоснованные затраты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Натуральные показатели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Подъем воды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т.м3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46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Потери при добыче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т.м3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-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3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Получено воды со стороны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т.м3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-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Подано воды в сеть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т.м3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46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5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Неучтенные расходы (потери)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т.м3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4,6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6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Реализация услуг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т.м3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41,4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</w:rPr>
            </w:pPr>
            <w:r w:rsidRPr="000B31EB">
              <w:rPr>
                <w:rFonts w:ascii="Arial" w:hAnsi="Arial" w:cs="Arial"/>
                <w:b/>
              </w:rPr>
              <w:t>Себестоимость по статьям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Электроэнергия 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тыс.кВт</w:t>
            </w:r>
            <w:proofErr w:type="spellEnd"/>
            <w:r w:rsidRPr="000B31EB">
              <w:rPr>
                <w:rFonts w:ascii="Arial" w:hAnsi="Arial" w:cs="Arial"/>
              </w:rPr>
              <w:t xml:space="preserve">/ч </w:t>
            </w:r>
          </w:p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тыс. руб.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23</w:t>
            </w:r>
          </w:p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40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2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Налоги всего, в том числе: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тыс. руб.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19,5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3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Водный налог 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тыс.руб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19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тыс. руб.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4,2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5</w:t>
            </w: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Ремонт и содержание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тыс.руб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350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proofErr w:type="gramStart"/>
            <w:r w:rsidRPr="000B31EB">
              <w:rPr>
                <w:rFonts w:ascii="Arial" w:hAnsi="Arial" w:cs="Arial"/>
              </w:rPr>
              <w:t>Итого  производственная</w:t>
            </w:r>
            <w:proofErr w:type="gramEnd"/>
            <w:r w:rsidRPr="000B31EB">
              <w:rPr>
                <w:rFonts w:ascii="Arial" w:hAnsi="Arial" w:cs="Arial"/>
              </w:rPr>
              <w:t xml:space="preserve"> себестоимость 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тыс. руб.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413,7</w:t>
            </w:r>
          </w:p>
        </w:tc>
      </w:tr>
      <w:tr w:rsidR="00476DC3" w:rsidRPr="000B31EB" w:rsidTr="00E0005A">
        <w:tc>
          <w:tcPr>
            <w:tcW w:w="484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Производственная себестоимость услуги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B31EB">
                <w:rPr>
                  <w:rFonts w:ascii="Arial" w:hAnsi="Arial" w:cs="Arial"/>
                </w:rPr>
                <w:t>1 м3</w:t>
              </w:r>
            </w:smartTag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2388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proofErr w:type="spellStart"/>
            <w:r w:rsidRPr="000B31EB">
              <w:rPr>
                <w:rFonts w:ascii="Arial" w:hAnsi="Arial" w:cs="Arial"/>
              </w:rPr>
              <w:t>руб</w:t>
            </w:r>
            <w:proofErr w:type="spellEnd"/>
            <w:r w:rsidRPr="000B31EB">
              <w:rPr>
                <w:rFonts w:ascii="Arial" w:hAnsi="Arial" w:cs="Arial"/>
              </w:rPr>
              <w:t>/м3.</w:t>
            </w:r>
          </w:p>
        </w:tc>
        <w:tc>
          <w:tcPr>
            <w:tcW w:w="2391" w:type="dxa"/>
            <w:shd w:val="clear" w:color="auto" w:fill="auto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9,99</w:t>
            </w:r>
          </w:p>
        </w:tc>
      </w:tr>
    </w:tbl>
    <w:p w:rsidR="00476DC3" w:rsidRPr="000B31EB" w:rsidRDefault="00476DC3" w:rsidP="00476DC3">
      <w:pPr>
        <w:ind w:left="360"/>
        <w:rPr>
          <w:rFonts w:ascii="Arial" w:hAnsi="Arial" w:cs="Arial"/>
        </w:rPr>
      </w:pPr>
    </w:p>
    <w:p w:rsidR="00476DC3" w:rsidRPr="000B31EB" w:rsidRDefault="00476DC3" w:rsidP="00476DC3">
      <w:pPr>
        <w:pStyle w:val="a1"/>
        <w:numPr>
          <w:ilvl w:val="0"/>
          <w:numId w:val="0"/>
        </w:numPr>
        <w:ind w:left="426" w:hanging="426"/>
        <w:rPr>
          <w:rFonts w:ascii="Arial" w:hAnsi="Arial" w:cs="Arial"/>
          <w:sz w:val="24"/>
          <w:szCs w:val="24"/>
        </w:rPr>
      </w:pPr>
      <w:bookmarkStart w:id="10" w:name="_Toc296504662"/>
      <w:r w:rsidRPr="000B31EB">
        <w:rPr>
          <w:rFonts w:ascii="Arial" w:hAnsi="Arial" w:cs="Arial"/>
          <w:sz w:val="24"/>
          <w:szCs w:val="24"/>
        </w:rPr>
        <w:t>Оценка экономической эффективности мероприятий</w:t>
      </w:r>
      <w:bookmarkEnd w:id="10"/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Базовые предпосылки расчетов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lastRenderedPageBreak/>
        <w:t>В данной программе объемы затрат по мероприятиям рассчитаны ориентировочно, в большей мере на основе данных специалистов коммунальных предприятий Горбатовского сельского поселения. При формировании инвестиционных и производственных программ необходимо проведение более детальных расчетов затрат и эффектов. Необходимую исходную информацию для таких расчетов возможно будет получить по результатам энергетических обследований соответствующих объектов. Таким образом, представленные расчеты в данном разделе следует рассматривать как укрупненные.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Для каждого из рассматриваемых мероприятий раздела были рассчитаны элементы для последующего расчета экономических эффектов: 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величина инвестиций;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изменение доходов организаций коммунального комплекса (ОКК);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изменение затрат на топливно-энергетический комплекс;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изменение эксплуатационных затрат;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чистый денежный поток от реализации мероприятия.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Эффективность всего раздела теплоснабжения характеризуется простым сроком окупаемости, чистым денежным потоком и экономической внутренней нормой доходности.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При расчете внутренней нормы прибыли проекта использовалась ставка дисконтирования 12%</w:t>
      </w:r>
      <w:r w:rsidRPr="000B31EB">
        <w:rPr>
          <w:rStyle w:val="ab"/>
          <w:rFonts w:ascii="Arial" w:hAnsi="Arial" w:cs="Arial"/>
        </w:rPr>
        <w:footnoteReference w:id="1"/>
      </w:r>
      <w:r w:rsidRPr="000B31EB">
        <w:rPr>
          <w:rFonts w:ascii="Arial" w:hAnsi="Arial" w:cs="Arial"/>
        </w:rPr>
        <w:t>.</w:t>
      </w:r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Затраты на реализацию мероприятий в системах водоснабжения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Затраты раздела при расчете экономического эффекта не включают непредвиденных расходов, связанных с ростом цен и пересмотром технических параметров мероприятий. Данные корректировки учитывались при суммарной оценке затрат по ПКРСКИ.</w:t>
      </w:r>
    </w:p>
    <w:p w:rsidR="00476DC3" w:rsidRPr="000B31EB" w:rsidRDefault="00476DC3" w:rsidP="00476DC3">
      <w:pPr>
        <w:rPr>
          <w:rFonts w:ascii="Arial" w:hAnsi="Arial" w:cs="Arial"/>
          <w:b/>
        </w:rPr>
      </w:pPr>
      <w:r w:rsidRPr="000B31EB">
        <w:rPr>
          <w:rFonts w:ascii="Arial" w:hAnsi="Arial" w:cs="Arial"/>
          <w:b/>
        </w:rPr>
        <w:t>Экономический эффект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Экономический эффект по рассматриваемым мероприятиям достигается за счет: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дополнительных доходов ОКК;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экономии затрат на ТЭР;</w:t>
      </w:r>
    </w:p>
    <w:p w:rsidR="00476DC3" w:rsidRPr="000B31EB" w:rsidRDefault="00476DC3" w:rsidP="00476DC3">
      <w:pPr>
        <w:pStyle w:val="a"/>
        <w:rPr>
          <w:rFonts w:ascii="Arial" w:hAnsi="Arial" w:cs="Arial"/>
        </w:rPr>
      </w:pPr>
      <w:r w:rsidRPr="000B31EB">
        <w:rPr>
          <w:rFonts w:ascii="Arial" w:hAnsi="Arial" w:cs="Arial"/>
        </w:rPr>
        <w:t>экономии затрат на эксплуатацию и ФОТ.</w:t>
      </w: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Большая часть эффекта в 2021-2024 гг. формируется за счет экономии ТЭР.  Окупаемость такого рода инвестиций носит долгосрочный характер, период окупаемости выходит за рамки настоящего прогнозного периода Программы.</w:t>
      </w:r>
    </w:p>
    <w:p w:rsidR="00476DC3" w:rsidRPr="00320D83" w:rsidRDefault="00476DC3" w:rsidP="00476DC3">
      <w:pPr>
        <w:tabs>
          <w:tab w:val="left" w:pos="2910"/>
        </w:tabs>
        <w:rPr>
          <w:rFonts w:ascii="Arial" w:hAnsi="Arial" w:cs="Arial"/>
          <w:highlight w:val="yellow"/>
        </w:rPr>
        <w:sectPr w:rsidR="00476DC3" w:rsidRPr="00320D83" w:rsidSect="00177805">
          <w:footerReference w:type="first" r:id="rId11"/>
          <w:footnotePr>
            <w:pos w:val="beneathText"/>
          </w:footnotePr>
          <w:pgSz w:w="11906" w:h="16838"/>
          <w:pgMar w:top="1134" w:right="567" w:bottom="1134" w:left="1320" w:header="709" w:footer="709" w:gutter="0"/>
          <w:cols w:space="708"/>
          <w:titlePg/>
          <w:docGrid w:linePitch="360"/>
        </w:sectPr>
      </w:pPr>
    </w:p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lastRenderedPageBreak/>
        <w:t>Таблица 5.7. Затраты и эффекты по мероприятиям раздела Водоснабжение</w:t>
      </w: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639"/>
        <w:gridCol w:w="704"/>
        <w:gridCol w:w="704"/>
        <w:gridCol w:w="704"/>
        <w:gridCol w:w="704"/>
        <w:gridCol w:w="703"/>
        <w:gridCol w:w="703"/>
        <w:gridCol w:w="703"/>
        <w:gridCol w:w="703"/>
        <w:gridCol w:w="703"/>
        <w:gridCol w:w="703"/>
        <w:gridCol w:w="703"/>
      </w:tblGrid>
      <w:tr w:rsidR="00476DC3" w:rsidRPr="000B31EB" w:rsidTr="00E0005A">
        <w:trPr>
          <w:trHeight w:val="24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Показатель</w:t>
            </w: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6DC3" w:rsidRPr="000B31EB" w:rsidTr="00E0005A">
        <w:trPr>
          <w:trHeight w:val="252"/>
        </w:trPr>
        <w:tc>
          <w:tcPr>
            <w:tcW w:w="14180" w:type="dxa"/>
            <w:gridSpan w:val="12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Инвестиции (с НДС) (со знаком -)</w:t>
            </w:r>
          </w:p>
        </w:tc>
      </w:tr>
      <w:tr w:rsidR="00476DC3" w:rsidRPr="000B31EB" w:rsidTr="00E0005A">
        <w:trPr>
          <w:trHeight w:val="24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 xml:space="preserve">Итого капитальные затраты, </w:t>
            </w:r>
            <w:proofErr w:type="spellStart"/>
            <w:r w:rsidRPr="000B31EB">
              <w:rPr>
                <w:rFonts w:ascii="Arial" w:hAnsi="Arial" w:cs="Arial"/>
                <w:b/>
                <w:bCs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6DC3" w:rsidRPr="000B31EB" w:rsidTr="00E0005A">
        <w:trPr>
          <w:trHeight w:val="252"/>
        </w:trPr>
        <w:tc>
          <w:tcPr>
            <w:tcW w:w="14180" w:type="dxa"/>
            <w:gridSpan w:val="12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Изменение доходов ОКК (с НДС) (+увеличение/-снижение):</w:t>
            </w:r>
          </w:p>
        </w:tc>
      </w:tr>
      <w:tr w:rsidR="00476DC3" w:rsidRPr="000B31EB" w:rsidTr="00E0005A">
        <w:trPr>
          <w:trHeight w:val="24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 xml:space="preserve">Итого доходы ОКК, </w:t>
            </w:r>
            <w:proofErr w:type="spellStart"/>
            <w:r w:rsidRPr="000B31EB">
              <w:rPr>
                <w:rFonts w:ascii="Arial" w:hAnsi="Arial" w:cs="Arial"/>
                <w:b/>
                <w:bCs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6DC3" w:rsidRPr="000B31EB" w:rsidTr="00E0005A">
        <w:trPr>
          <w:trHeight w:val="240"/>
        </w:trPr>
        <w:tc>
          <w:tcPr>
            <w:tcW w:w="14180" w:type="dxa"/>
            <w:gridSpan w:val="12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Изменение затрат (с НДС) (-увеличение/+экономия):</w:t>
            </w:r>
          </w:p>
        </w:tc>
      </w:tr>
      <w:tr w:rsidR="00476DC3" w:rsidRPr="000B31EB" w:rsidTr="00E0005A">
        <w:trPr>
          <w:trHeight w:val="24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color w:val="000000"/>
              </w:rPr>
            </w:pPr>
            <w:r w:rsidRPr="000B31EB">
              <w:rPr>
                <w:rFonts w:ascii="Arial" w:hAnsi="Arial" w:cs="Arial"/>
                <w:color w:val="000000"/>
              </w:rPr>
              <w:t xml:space="preserve">Изменение затрат на топливо, </w:t>
            </w:r>
            <w:proofErr w:type="spellStart"/>
            <w:r w:rsidRPr="000B31EB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trHeight w:val="48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color w:val="000000"/>
              </w:rPr>
            </w:pPr>
            <w:r w:rsidRPr="000B31EB">
              <w:rPr>
                <w:rFonts w:ascii="Arial" w:hAnsi="Arial" w:cs="Arial"/>
                <w:color w:val="000000"/>
              </w:rPr>
              <w:t xml:space="preserve">Изменение затрат на электроэнергию, </w:t>
            </w:r>
            <w:proofErr w:type="spellStart"/>
            <w:r w:rsidRPr="000B31EB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trHeight w:val="24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color w:val="000000"/>
              </w:rPr>
            </w:pPr>
            <w:r w:rsidRPr="000B31EB">
              <w:rPr>
                <w:rFonts w:ascii="Arial" w:hAnsi="Arial" w:cs="Arial"/>
                <w:color w:val="000000"/>
              </w:rPr>
              <w:t xml:space="preserve">Изменение затрат на воду, </w:t>
            </w:r>
            <w:proofErr w:type="spellStart"/>
            <w:r w:rsidRPr="000B31EB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trHeight w:val="48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color w:val="000000"/>
              </w:rPr>
            </w:pPr>
            <w:r w:rsidRPr="000B31EB">
              <w:rPr>
                <w:rFonts w:ascii="Arial" w:hAnsi="Arial" w:cs="Arial"/>
                <w:color w:val="000000"/>
              </w:rPr>
              <w:t xml:space="preserve">Изменение затрат на </w:t>
            </w:r>
            <w:proofErr w:type="spellStart"/>
            <w:r w:rsidRPr="000B31EB">
              <w:rPr>
                <w:rFonts w:ascii="Arial" w:hAnsi="Arial" w:cs="Arial"/>
                <w:color w:val="000000"/>
              </w:rPr>
              <w:t>теплоэнергию</w:t>
            </w:r>
            <w:proofErr w:type="spellEnd"/>
            <w:r w:rsidRPr="000B31E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B31EB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trHeight w:val="24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Итого изменение затрат на ТЭР: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6DC3" w:rsidRPr="000B31EB" w:rsidTr="00E0005A">
        <w:trPr>
          <w:trHeight w:val="72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color w:val="000000"/>
              </w:rPr>
            </w:pPr>
            <w:r w:rsidRPr="000B31EB">
              <w:rPr>
                <w:rFonts w:ascii="Arial" w:hAnsi="Arial" w:cs="Arial"/>
                <w:color w:val="000000"/>
              </w:rPr>
              <w:t xml:space="preserve">Изменение эксплуатационных затрат (ремонт, содержание, прочие накладные), </w:t>
            </w:r>
            <w:proofErr w:type="spellStart"/>
            <w:r w:rsidRPr="000B31EB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trHeight w:val="48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color w:val="000000"/>
              </w:rPr>
            </w:pPr>
            <w:r w:rsidRPr="000B31EB">
              <w:rPr>
                <w:rFonts w:ascii="Arial" w:hAnsi="Arial" w:cs="Arial"/>
                <w:color w:val="000000"/>
              </w:rPr>
              <w:t xml:space="preserve">Изменение затрат на персонал (ФОТ+ЕСН), </w:t>
            </w:r>
            <w:proofErr w:type="spellStart"/>
            <w:r w:rsidRPr="000B31EB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trHeight w:val="48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 xml:space="preserve">Итого изменение эксплуатационных затрат, </w:t>
            </w:r>
            <w:proofErr w:type="spellStart"/>
            <w:r w:rsidRPr="000B31EB">
              <w:rPr>
                <w:rFonts w:ascii="Arial" w:hAnsi="Arial" w:cs="Arial"/>
                <w:b/>
                <w:bCs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b/>
                <w:bCs/>
                <w:color w:val="000000"/>
              </w:rPr>
              <w:t>.: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6DC3" w:rsidRPr="000B31EB" w:rsidTr="00E0005A">
        <w:trPr>
          <w:trHeight w:val="24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Итого изменение затрат, </w:t>
            </w:r>
            <w:proofErr w:type="spellStart"/>
            <w:r w:rsidRPr="000B31EB">
              <w:rPr>
                <w:rFonts w:ascii="Arial" w:hAnsi="Arial" w:cs="Arial"/>
                <w:b/>
                <w:bCs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b/>
                <w:bCs/>
                <w:color w:val="000000"/>
              </w:rPr>
              <w:t>.: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6DC3" w:rsidRPr="000B31EB" w:rsidTr="00E0005A">
        <w:trPr>
          <w:trHeight w:val="24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 xml:space="preserve">Чистый денежный поток, </w:t>
            </w:r>
            <w:proofErr w:type="spellStart"/>
            <w:r w:rsidRPr="000B31EB">
              <w:rPr>
                <w:rFonts w:ascii="Arial" w:hAnsi="Arial" w:cs="Arial"/>
                <w:b/>
                <w:bCs/>
                <w:color w:val="000000"/>
              </w:rPr>
              <w:t>т.р</w:t>
            </w:r>
            <w:proofErr w:type="spellEnd"/>
            <w:r w:rsidRPr="000B31EB">
              <w:rPr>
                <w:rFonts w:ascii="Arial" w:hAnsi="Arial" w:cs="Arial"/>
                <w:b/>
                <w:bCs/>
                <w:color w:val="000000"/>
              </w:rPr>
              <w:t>.: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6DC3" w:rsidRPr="000B31EB" w:rsidTr="00E0005A">
        <w:trPr>
          <w:trHeight w:val="480"/>
        </w:trPr>
        <w:tc>
          <w:tcPr>
            <w:tcW w:w="2960" w:type="dxa"/>
            <w:shd w:val="clear" w:color="FFFFCC" w:fill="FFFFFF"/>
            <w:vAlign w:val="center"/>
          </w:tcPr>
          <w:p w:rsidR="00476DC3" w:rsidRPr="000B31EB" w:rsidRDefault="00476DC3" w:rsidP="00E000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B31EB">
              <w:rPr>
                <w:rFonts w:ascii="Arial" w:hAnsi="Arial" w:cs="Arial"/>
                <w:b/>
                <w:bCs/>
                <w:color w:val="000000"/>
              </w:rPr>
              <w:t>Дисконтированный денежный поток за период</w:t>
            </w: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shd w:val="clear" w:color="FFFFCC" w:fill="FFFFFF"/>
            <w:noWrap/>
            <w:vAlign w:val="center"/>
          </w:tcPr>
          <w:p w:rsidR="00476DC3" w:rsidRPr="000B31EB" w:rsidRDefault="00476DC3" w:rsidP="00E0005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76DC3" w:rsidRPr="000B31EB" w:rsidRDefault="00476DC3" w:rsidP="00476DC3">
      <w:pPr>
        <w:rPr>
          <w:rFonts w:ascii="Arial" w:hAnsi="Arial" w:cs="Arial"/>
        </w:rPr>
      </w:pPr>
      <w:r w:rsidRPr="000B31EB">
        <w:rPr>
          <w:rFonts w:ascii="Arial" w:hAnsi="Arial" w:cs="Arial"/>
        </w:rPr>
        <w:t>Таблица 5.8. Эффективность инвестиций по разделу</w:t>
      </w:r>
    </w:p>
    <w:tbl>
      <w:tblPr>
        <w:tblW w:w="178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782"/>
      </w:tblGrid>
      <w:tr w:rsidR="00476DC3" w:rsidRPr="000B31EB" w:rsidTr="00E0005A">
        <w:trPr>
          <w:trHeight w:val="17"/>
        </w:trPr>
        <w:tc>
          <w:tcPr>
            <w:tcW w:w="4130" w:type="dxa"/>
            <w:shd w:val="clear" w:color="000000" w:fill="FFFFFF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B31EB">
              <w:rPr>
                <w:rFonts w:ascii="Arial" w:hAnsi="Arial" w:cs="Arial"/>
                <w:b/>
                <w:bCs/>
              </w:rPr>
              <w:t>Показатель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B31EB">
              <w:rPr>
                <w:rFonts w:ascii="Arial" w:hAnsi="Arial" w:cs="Arial"/>
                <w:b/>
                <w:bCs/>
              </w:rPr>
              <w:t>Величина</w:t>
            </w:r>
          </w:p>
        </w:tc>
      </w:tr>
      <w:tr w:rsidR="00476DC3" w:rsidRPr="000B31EB" w:rsidTr="00E0005A">
        <w:trPr>
          <w:trHeight w:val="172"/>
        </w:trPr>
        <w:tc>
          <w:tcPr>
            <w:tcW w:w="4130" w:type="dxa"/>
            <w:shd w:val="clear" w:color="000000" w:fill="FFFFFF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Суммарный чистый денежный поток (NCF), </w:t>
            </w:r>
            <w:proofErr w:type="spellStart"/>
            <w:r w:rsidRPr="000B31EB">
              <w:rPr>
                <w:rFonts w:ascii="Arial" w:hAnsi="Arial" w:cs="Arial"/>
              </w:rPr>
              <w:t>т.р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trHeight w:val="297"/>
        </w:trPr>
        <w:tc>
          <w:tcPr>
            <w:tcW w:w="4130" w:type="dxa"/>
            <w:shd w:val="clear" w:color="000000" w:fill="FFFFFF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Простой срок окупаемости (PBP), </w:t>
            </w:r>
            <w:proofErr w:type="spellStart"/>
            <w:r w:rsidRPr="000B31EB">
              <w:rPr>
                <w:rFonts w:ascii="Arial" w:hAnsi="Arial" w:cs="Arial"/>
              </w:rPr>
              <w:t>т.р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trHeight w:val="17"/>
        </w:trPr>
        <w:tc>
          <w:tcPr>
            <w:tcW w:w="4130" w:type="dxa"/>
            <w:shd w:val="clear" w:color="000000" w:fill="FFFFFF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 xml:space="preserve">Чистая приведенная стоимость (NPV), </w:t>
            </w:r>
            <w:proofErr w:type="spellStart"/>
            <w:r w:rsidRPr="000B31EB">
              <w:rPr>
                <w:rFonts w:ascii="Arial" w:hAnsi="Arial" w:cs="Arial"/>
              </w:rPr>
              <w:t>т.р</w:t>
            </w:r>
            <w:proofErr w:type="spellEnd"/>
            <w:r w:rsidRPr="000B31EB">
              <w:rPr>
                <w:rFonts w:ascii="Arial" w:hAnsi="Arial" w:cs="Arial"/>
              </w:rPr>
              <w:t>.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76DC3" w:rsidRPr="000B31EB" w:rsidTr="00E0005A">
        <w:trPr>
          <w:trHeight w:val="208"/>
        </w:trPr>
        <w:tc>
          <w:tcPr>
            <w:tcW w:w="4130" w:type="dxa"/>
            <w:shd w:val="clear" w:color="000000" w:fill="FFFFFF"/>
            <w:vAlign w:val="center"/>
          </w:tcPr>
          <w:p w:rsidR="00476DC3" w:rsidRPr="000B31EB" w:rsidRDefault="00476DC3" w:rsidP="00E0005A">
            <w:pPr>
              <w:spacing w:before="60" w:after="60"/>
              <w:rPr>
                <w:rFonts w:ascii="Arial" w:hAnsi="Arial" w:cs="Arial"/>
              </w:rPr>
            </w:pPr>
            <w:r w:rsidRPr="000B31EB">
              <w:rPr>
                <w:rFonts w:ascii="Arial" w:hAnsi="Arial" w:cs="Arial"/>
              </w:rPr>
              <w:t>Экономическая внутренняя норма доходности, %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476DC3" w:rsidRPr="000B31EB" w:rsidRDefault="00476DC3" w:rsidP="00E0005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476DC3" w:rsidRPr="00141681" w:rsidRDefault="00476DC3" w:rsidP="00476DC3">
      <w:pPr>
        <w:pStyle w:val="1"/>
        <w:numPr>
          <w:ilvl w:val="0"/>
          <w:numId w:val="0"/>
        </w:numPr>
        <w:rPr>
          <w:rFonts w:ascii="Arial" w:hAnsi="Arial" w:cs="Arial"/>
          <w:b w:val="0"/>
        </w:rPr>
      </w:pPr>
    </w:p>
    <w:p w:rsidR="00476DC3" w:rsidRPr="000B31EB" w:rsidRDefault="00476DC3" w:rsidP="00476DC3">
      <w:pPr>
        <w:pStyle w:val="1"/>
        <w:rPr>
          <w:rFonts w:ascii="Arial" w:hAnsi="Arial" w:cs="Arial"/>
          <w:b w:val="0"/>
        </w:rPr>
      </w:pPr>
      <w:r w:rsidRPr="000B31EB">
        <w:rPr>
          <w:rFonts w:ascii="Arial" w:hAnsi="Arial" w:cs="Arial"/>
          <w:b w:val="0"/>
        </w:rPr>
        <w:t>Выводы:</w:t>
      </w:r>
    </w:p>
    <w:p w:rsidR="00476DC3" w:rsidRPr="000B31EB" w:rsidRDefault="00476DC3" w:rsidP="00476DC3">
      <w:pPr>
        <w:pStyle w:val="a"/>
        <w:numPr>
          <w:ilvl w:val="0"/>
          <w:numId w:val="0"/>
        </w:numPr>
        <w:ind w:left="284"/>
        <w:contextualSpacing w:val="0"/>
        <w:rPr>
          <w:rFonts w:ascii="Arial" w:hAnsi="Arial" w:cs="Arial"/>
        </w:rPr>
      </w:pPr>
      <w:r w:rsidRPr="000B31EB">
        <w:rPr>
          <w:rFonts w:ascii="Arial" w:hAnsi="Arial" w:cs="Arial"/>
        </w:rPr>
        <w:t>Итоговая экономическая эффективность мероприятий ПКРСКИ Серафимовичского р-на является отрицательной. Инвестиции в целом не окупаются;</w:t>
      </w:r>
    </w:p>
    <w:p w:rsidR="00476DC3" w:rsidRPr="000B31EB" w:rsidRDefault="00476DC3" w:rsidP="00476DC3">
      <w:pPr>
        <w:pStyle w:val="a"/>
        <w:numPr>
          <w:ilvl w:val="0"/>
          <w:numId w:val="0"/>
        </w:numPr>
        <w:ind w:left="284"/>
        <w:contextualSpacing w:val="0"/>
        <w:rPr>
          <w:rFonts w:ascii="Arial" w:hAnsi="Arial" w:cs="Arial"/>
        </w:rPr>
      </w:pPr>
      <w:r w:rsidRPr="000B31EB">
        <w:rPr>
          <w:rFonts w:ascii="Arial" w:hAnsi="Arial" w:cs="Arial"/>
        </w:rPr>
        <w:t xml:space="preserve">Отрицательные показатели связаны с существенными затратами в крупные инфраструктурные проекты: сети водоснабжения (102,5 </w:t>
      </w:r>
      <w:proofErr w:type="spellStart"/>
      <w:r w:rsidRPr="000B31EB">
        <w:rPr>
          <w:rFonts w:ascii="Arial" w:hAnsi="Arial" w:cs="Arial"/>
        </w:rPr>
        <w:t>млн.руб</w:t>
      </w:r>
      <w:proofErr w:type="spellEnd"/>
      <w:r w:rsidRPr="000B31EB">
        <w:rPr>
          <w:rFonts w:ascii="Arial" w:hAnsi="Arial" w:cs="Arial"/>
        </w:rPr>
        <w:t>.).</w:t>
      </w:r>
    </w:p>
    <w:p w:rsidR="00476DC3" w:rsidRPr="000B31EB" w:rsidRDefault="00476DC3" w:rsidP="00476DC3">
      <w:pPr>
        <w:pStyle w:val="a"/>
        <w:numPr>
          <w:ilvl w:val="0"/>
          <w:numId w:val="0"/>
        </w:numPr>
        <w:ind w:left="284"/>
        <w:contextualSpacing w:val="0"/>
        <w:rPr>
          <w:rFonts w:ascii="Arial" w:hAnsi="Arial" w:cs="Arial"/>
        </w:rPr>
      </w:pPr>
      <w:r w:rsidRPr="000B31EB">
        <w:rPr>
          <w:rFonts w:ascii="Arial" w:hAnsi="Arial" w:cs="Arial"/>
        </w:rPr>
        <w:t>При привлечении федеральных и региональных субсидий экономическая эффективность ПКРСКИ будет иметь привлекательные инвестиционные параметры.</w:t>
      </w:r>
    </w:p>
    <w:p w:rsidR="00476DC3" w:rsidRPr="00AA028E" w:rsidRDefault="00476DC3" w:rsidP="009330C3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  <w:bookmarkStart w:id="11" w:name="_GoBack"/>
      <w:bookmarkEnd w:id="11"/>
    </w:p>
    <w:p w:rsidR="00571F40" w:rsidRDefault="00571F40" w:rsidP="009330C3"/>
    <w:p w:rsidR="00756498" w:rsidRDefault="00756498" w:rsidP="009330C3"/>
    <w:p w:rsidR="00756498" w:rsidRDefault="00756498" w:rsidP="009330C3"/>
    <w:p w:rsidR="00756498" w:rsidRDefault="00756498" w:rsidP="009330C3"/>
    <w:sectPr w:rsidR="00756498" w:rsidSect="000F2BFB">
      <w:headerReference w:type="default" r:id="rId12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30" w:rsidRDefault="004E5C30" w:rsidP="001A3F1B">
      <w:r>
        <w:separator/>
      </w:r>
    </w:p>
  </w:endnote>
  <w:endnote w:type="continuationSeparator" w:id="0">
    <w:p w:rsidR="004E5C30" w:rsidRDefault="004E5C30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C3" w:rsidRDefault="00476DC3" w:rsidP="00467E7B">
    <w:pPr>
      <w:pStyle w:val="af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76DC3" w:rsidRDefault="00476DC3" w:rsidP="00467E7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C3" w:rsidRPr="00965CEA" w:rsidRDefault="00476DC3" w:rsidP="00711EE3">
    <w:pPr>
      <w:pStyle w:val="af"/>
      <w:jc w:val="center"/>
      <w:rPr>
        <w:sz w:val="20"/>
        <w:szCs w:val="20"/>
      </w:rPr>
    </w:pPr>
    <w:r w:rsidRPr="00965CEA">
      <w:rPr>
        <w:sz w:val="20"/>
        <w:szCs w:val="20"/>
      </w:rPr>
      <w:fldChar w:fldCharType="begin"/>
    </w:r>
    <w:r w:rsidRPr="00965CEA">
      <w:rPr>
        <w:sz w:val="20"/>
        <w:szCs w:val="20"/>
      </w:rPr>
      <w:instrText xml:space="preserve"> PAGE   \* MERGEFORMAT </w:instrText>
    </w:r>
    <w:r w:rsidRPr="00965CE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65CE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C3" w:rsidRPr="00924729" w:rsidRDefault="00476DC3">
    <w:pPr>
      <w:pStyle w:val="af"/>
      <w:jc w:val="center"/>
      <w:rPr>
        <w:sz w:val="18"/>
        <w:szCs w:val="18"/>
      </w:rPr>
    </w:pPr>
  </w:p>
  <w:p w:rsidR="00476DC3" w:rsidRDefault="00476DC3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C3" w:rsidRDefault="00476DC3" w:rsidP="00DD57A7">
    <w:pPr>
      <w:pStyle w:val="af"/>
      <w:jc w:val="center"/>
    </w:pPr>
    <w:r w:rsidRPr="00DD57A7">
      <w:rPr>
        <w:sz w:val="20"/>
        <w:szCs w:val="20"/>
      </w:rPr>
      <w:fldChar w:fldCharType="begin"/>
    </w:r>
    <w:r w:rsidRPr="00DD57A7">
      <w:rPr>
        <w:sz w:val="20"/>
        <w:szCs w:val="20"/>
      </w:rPr>
      <w:instrText xml:space="preserve"> PAGE   \* MERGEFORMAT </w:instrText>
    </w:r>
    <w:r w:rsidRPr="00DD57A7">
      <w:rPr>
        <w:sz w:val="20"/>
        <w:szCs w:val="20"/>
      </w:rPr>
      <w:fldChar w:fldCharType="separate"/>
    </w:r>
    <w:r>
      <w:rPr>
        <w:noProof/>
        <w:sz w:val="20"/>
        <w:szCs w:val="20"/>
      </w:rPr>
      <w:t>0</w:t>
    </w:r>
    <w:r w:rsidRPr="00DD57A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30" w:rsidRDefault="004E5C30" w:rsidP="001A3F1B">
      <w:r>
        <w:separator/>
      </w:r>
    </w:p>
  </w:footnote>
  <w:footnote w:type="continuationSeparator" w:id="0">
    <w:p w:rsidR="004E5C30" w:rsidRDefault="004E5C30" w:rsidP="001A3F1B">
      <w:r>
        <w:continuationSeparator/>
      </w:r>
    </w:p>
  </w:footnote>
  <w:footnote w:id="1">
    <w:p w:rsidR="00476DC3" w:rsidRDefault="00476DC3" w:rsidP="00476DC3">
      <w:pPr>
        <w:pStyle w:val="a9"/>
        <w:rPr>
          <w:rStyle w:val="ab"/>
          <w:sz w:val="18"/>
          <w:szCs w:val="18"/>
        </w:rPr>
      </w:pPr>
    </w:p>
    <w:p w:rsidR="00476DC3" w:rsidRPr="000F2D5D" w:rsidRDefault="00476DC3" w:rsidP="00476DC3">
      <w:pPr>
        <w:pStyle w:val="a9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40" w:rsidRDefault="005708E9">
    <w:pPr>
      <w:pStyle w:val="a7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476DC3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1B4A"/>
    <w:multiLevelType w:val="hybridMultilevel"/>
    <w:tmpl w:val="D22EBB3A"/>
    <w:lvl w:ilvl="0" w:tplc="43903EC6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674B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A2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821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CC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D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25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84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6A8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0998"/>
    <w:multiLevelType w:val="hybridMultilevel"/>
    <w:tmpl w:val="1B3AF7D2"/>
    <w:lvl w:ilvl="0" w:tplc="F6E2C70E">
      <w:start w:val="1"/>
      <w:numFmt w:val="bullet"/>
      <w:pStyle w:val="a0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13BD5"/>
    <w:multiLevelType w:val="multilevel"/>
    <w:tmpl w:val="320A39E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71CBE"/>
    <w:rsid w:val="001A3F1B"/>
    <w:rsid w:val="001D2F19"/>
    <w:rsid w:val="001D60B3"/>
    <w:rsid w:val="001F0E81"/>
    <w:rsid w:val="002156A7"/>
    <w:rsid w:val="00230CD8"/>
    <w:rsid w:val="00232650"/>
    <w:rsid w:val="00256B7C"/>
    <w:rsid w:val="002B4299"/>
    <w:rsid w:val="00332B37"/>
    <w:rsid w:val="00345095"/>
    <w:rsid w:val="003B59D3"/>
    <w:rsid w:val="003C43FB"/>
    <w:rsid w:val="003D6B70"/>
    <w:rsid w:val="004325DF"/>
    <w:rsid w:val="004502DB"/>
    <w:rsid w:val="00452CE5"/>
    <w:rsid w:val="00471852"/>
    <w:rsid w:val="00476DC3"/>
    <w:rsid w:val="004A0DA1"/>
    <w:rsid w:val="004B7670"/>
    <w:rsid w:val="004C28A8"/>
    <w:rsid w:val="004E5C30"/>
    <w:rsid w:val="004F769F"/>
    <w:rsid w:val="00512ECD"/>
    <w:rsid w:val="00524D57"/>
    <w:rsid w:val="0053186F"/>
    <w:rsid w:val="005656DC"/>
    <w:rsid w:val="005708E9"/>
    <w:rsid w:val="00571F40"/>
    <w:rsid w:val="005838F0"/>
    <w:rsid w:val="005A6BA2"/>
    <w:rsid w:val="0064423B"/>
    <w:rsid w:val="0064586B"/>
    <w:rsid w:val="00655952"/>
    <w:rsid w:val="00680823"/>
    <w:rsid w:val="006A05BE"/>
    <w:rsid w:val="006D07D6"/>
    <w:rsid w:val="006E3BCD"/>
    <w:rsid w:val="006F5005"/>
    <w:rsid w:val="00705AAE"/>
    <w:rsid w:val="00733B9C"/>
    <w:rsid w:val="00756498"/>
    <w:rsid w:val="007828B6"/>
    <w:rsid w:val="007834CA"/>
    <w:rsid w:val="007C05A0"/>
    <w:rsid w:val="007E0D29"/>
    <w:rsid w:val="00857F7B"/>
    <w:rsid w:val="008945E6"/>
    <w:rsid w:val="008B6980"/>
    <w:rsid w:val="008B7791"/>
    <w:rsid w:val="008F4B05"/>
    <w:rsid w:val="00920184"/>
    <w:rsid w:val="0092489B"/>
    <w:rsid w:val="009330C3"/>
    <w:rsid w:val="00944858"/>
    <w:rsid w:val="00956663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A028E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01227"/>
    <w:rsid w:val="00C16F58"/>
    <w:rsid w:val="00C17E72"/>
    <w:rsid w:val="00C70663"/>
    <w:rsid w:val="00CA04BE"/>
    <w:rsid w:val="00CE0F34"/>
    <w:rsid w:val="00CE4B01"/>
    <w:rsid w:val="00D12FE9"/>
    <w:rsid w:val="00D440B6"/>
    <w:rsid w:val="00D475AF"/>
    <w:rsid w:val="00D9249D"/>
    <w:rsid w:val="00D93359"/>
    <w:rsid w:val="00D974A9"/>
    <w:rsid w:val="00DE68A2"/>
    <w:rsid w:val="00E02251"/>
    <w:rsid w:val="00E4757C"/>
    <w:rsid w:val="00EB5FC2"/>
    <w:rsid w:val="00ED7344"/>
    <w:rsid w:val="00F120DE"/>
    <w:rsid w:val="00F14A38"/>
    <w:rsid w:val="00F3307F"/>
    <w:rsid w:val="00F40A5E"/>
    <w:rsid w:val="00F64391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DDB813-D4D8-44A4-BB22-D0918018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aliases w:val="Раздел,Заголовок 1 Знак Знак,Заголовок 1 Знак Знак Знак"/>
    <w:basedOn w:val="a2"/>
    <w:next w:val="a2"/>
    <w:link w:val="10"/>
    <w:qFormat/>
    <w:locked/>
    <w:rsid w:val="00476DC3"/>
    <w:pPr>
      <w:keepNext/>
      <w:numPr>
        <w:numId w:val="3"/>
      </w:numPr>
      <w:suppressAutoHyphens w:val="0"/>
      <w:spacing w:before="240" w:after="240"/>
      <w:jc w:val="both"/>
      <w:outlineLvl w:val="0"/>
    </w:pPr>
    <w:rPr>
      <w:b/>
      <w:bCs/>
      <w:kern w:val="32"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1A3F1B"/>
    <w:rPr>
      <w:color w:val="0000FF"/>
      <w:u w:val="none"/>
    </w:rPr>
  </w:style>
  <w:style w:type="paragraph" w:styleId="a7">
    <w:name w:val="header"/>
    <w:basedOn w:val="a2"/>
    <w:link w:val="a8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note text"/>
    <w:basedOn w:val="a2"/>
    <w:link w:val="aa"/>
    <w:semiHidden/>
    <w:rsid w:val="001A3F1B"/>
    <w:rPr>
      <w:sz w:val="20"/>
      <w:szCs w:val="20"/>
      <w:lang w:eastAsia="ar-SA"/>
    </w:rPr>
  </w:style>
  <w:style w:type="character" w:customStyle="1" w:styleId="aa">
    <w:name w:val="Текст сноски Знак"/>
    <w:basedOn w:val="a3"/>
    <w:link w:val="a9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3"/>
    <w:semiHidden/>
    <w:rsid w:val="001A3F1B"/>
    <w:rPr>
      <w:vertAlign w:val="superscript"/>
    </w:rPr>
  </w:style>
  <w:style w:type="paragraph" w:styleId="HTML">
    <w:name w:val="HTML Preformatted"/>
    <w:basedOn w:val="a2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AA02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3"/>
    <w:link w:val="ac"/>
    <w:uiPriority w:val="99"/>
    <w:semiHidden/>
    <w:rsid w:val="00AA028E"/>
    <w:rPr>
      <w:rFonts w:ascii="Segoe UI" w:eastAsia="Times New Roman" w:hAnsi="Segoe UI" w:cs="Segoe UI"/>
      <w:sz w:val="18"/>
      <w:szCs w:val="18"/>
      <w:lang w:eastAsia="zh-CN"/>
    </w:rPr>
  </w:style>
  <w:style w:type="paragraph" w:styleId="ae">
    <w:name w:val="List Paragraph"/>
    <w:basedOn w:val="a2"/>
    <w:uiPriority w:val="34"/>
    <w:qFormat/>
    <w:rsid w:val="00471852"/>
    <w:pPr>
      <w:ind w:left="720"/>
      <w:contextualSpacing/>
    </w:pPr>
  </w:style>
  <w:style w:type="character" w:customStyle="1" w:styleId="10">
    <w:name w:val="Заголовок 1 Знак"/>
    <w:aliases w:val="Раздел Знак,Заголовок 1 Знак Знак Знак1,Заголовок 1 Знак Знак Знак Знак1"/>
    <w:basedOn w:val="a3"/>
    <w:link w:val="1"/>
    <w:rsid w:val="00476DC3"/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af">
    <w:name w:val="footer"/>
    <w:basedOn w:val="a2"/>
    <w:link w:val="af0"/>
    <w:uiPriority w:val="99"/>
    <w:rsid w:val="00476DC3"/>
    <w:pPr>
      <w:tabs>
        <w:tab w:val="center" w:pos="4677"/>
        <w:tab w:val="right" w:pos="9355"/>
      </w:tabs>
      <w:suppressAutoHyphens w:val="0"/>
      <w:spacing w:before="240" w:after="240"/>
      <w:jc w:val="both"/>
    </w:pPr>
    <w:rPr>
      <w:lang w:eastAsia="ru-RU"/>
    </w:rPr>
  </w:style>
  <w:style w:type="character" w:customStyle="1" w:styleId="af0">
    <w:name w:val="Нижний колонтитул Знак"/>
    <w:basedOn w:val="a3"/>
    <w:link w:val="af"/>
    <w:uiPriority w:val="99"/>
    <w:rsid w:val="00476DC3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476DC3"/>
    <w:rPr>
      <w:rFonts w:cs="Times New Roman"/>
    </w:rPr>
  </w:style>
  <w:style w:type="character" w:styleId="af2">
    <w:name w:val="Emphasis"/>
    <w:qFormat/>
    <w:locked/>
    <w:rsid w:val="00476DC3"/>
    <w:rPr>
      <w:rFonts w:cs="Times New Roman"/>
      <w:i/>
      <w:iCs/>
    </w:rPr>
  </w:style>
  <w:style w:type="paragraph" w:styleId="af3">
    <w:name w:val="Body Text"/>
    <w:basedOn w:val="a2"/>
    <w:link w:val="11"/>
    <w:rsid w:val="00476DC3"/>
    <w:pPr>
      <w:suppressAutoHyphens w:val="0"/>
      <w:spacing w:before="240" w:after="120"/>
      <w:jc w:val="both"/>
    </w:pPr>
    <w:rPr>
      <w:lang w:eastAsia="ru-RU"/>
    </w:rPr>
  </w:style>
  <w:style w:type="character" w:customStyle="1" w:styleId="af4">
    <w:name w:val="Основной текст Знак"/>
    <w:basedOn w:val="a3"/>
    <w:uiPriority w:val="99"/>
    <w:semiHidden/>
    <w:rsid w:val="00476DC3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1">
    <w:name w:val="Основной текст Знак1"/>
    <w:aliases w:val="Основной текст Знак Знак"/>
    <w:link w:val="af3"/>
    <w:locked/>
    <w:rsid w:val="00476DC3"/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2"/>
    <w:link w:val="af6"/>
    <w:rsid w:val="00476DC3"/>
    <w:pPr>
      <w:suppressAutoHyphens w:val="0"/>
      <w:spacing w:before="240" w:after="120"/>
      <w:ind w:left="283"/>
      <w:jc w:val="both"/>
    </w:pPr>
    <w:rPr>
      <w:lang w:eastAsia="ru-RU"/>
    </w:rPr>
  </w:style>
  <w:style w:type="character" w:customStyle="1" w:styleId="af6">
    <w:name w:val="Основной текст с отступом Знак"/>
    <w:basedOn w:val="a3"/>
    <w:link w:val="af5"/>
    <w:rsid w:val="00476DC3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2"/>
    <w:rsid w:val="00476DC3"/>
    <w:pPr>
      <w:tabs>
        <w:tab w:val="left" w:pos="5166"/>
      </w:tabs>
      <w:spacing w:before="240" w:after="240"/>
      <w:jc w:val="both"/>
    </w:pPr>
    <w:rPr>
      <w:szCs w:val="20"/>
      <w:lang w:eastAsia="ru-RU"/>
    </w:rPr>
  </w:style>
  <w:style w:type="paragraph" w:customStyle="1" w:styleId="a1">
    <w:name w:val="TOC Heading"/>
    <w:aliases w:val="Подраздел"/>
    <w:basedOn w:val="1"/>
    <w:next w:val="a2"/>
    <w:uiPriority w:val="39"/>
    <w:unhideWhenUsed/>
    <w:qFormat/>
    <w:rsid w:val="00476DC3"/>
    <w:pPr>
      <w:numPr>
        <w:ilvl w:val="1"/>
      </w:numPr>
      <w:tabs>
        <w:tab w:val="left" w:pos="567"/>
      </w:tabs>
      <w:ind w:left="426"/>
    </w:pPr>
  </w:style>
  <w:style w:type="paragraph" w:customStyle="1" w:styleId="a0">
    <w:name w:val="Маркер"/>
    <w:basedOn w:val="a2"/>
    <w:link w:val="af7"/>
    <w:rsid w:val="00476DC3"/>
    <w:pPr>
      <w:numPr>
        <w:numId w:val="2"/>
      </w:numPr>
      <w:suppressAutoHyphens w:val="0"/>
      <w:spacing w:before="240" w:after="240"/>
      <w:jc w:val="both"/>
    </w:pPr>
    <w:rPr>
      <w:lang w:eastAsia="ru-RU"/>
    </w:rPr>
  </w:style>
  <w:style w:type="character" w:customStyle="1" w:styleId="af7">
    <w:name w:val="Маркер Знак"/>
    <w:link w:val="a0"/>
    <w:rsid w:val="00476DC3"/>
    <w:rPr>
      <w:rFonts w:ascii="Times New Roman" w:eastAsia="Times New Roman" w:hAnsi="Times New Roman"/>
      <w:sz w:val="24"/>
      <w:szCs w:val="24"/>
    </w:rPr>
  </w:style>
  <w:style w:type="paragraph" w:customStyle="1" w:styleId="a">
    <w:name w:val="Перечисление"/>
    <w:basedOn w:val="ae"/>
    <w:link w:val="af8"/>
    <w:qFormat/>
    <w:rsid w:val="00476DC3"/>
    <w:pPr>
      <w:numPr>
        <w:numId w:val="1"/>
      </w:numPr>
      <w:suppressAutoHyphens w:val="0"/>
      <w:spacing w:before="240" w:after="240"/>
      <w:ind w:left="709" w:hanging="283"/>
      <w:jc w:val="both"/>
    </w:pPr>
    <w:rPr>
      <w:lang w:eastAsia="ru-RU"/>
    </w:rPr>
  </w:style>
  <w:style w:type="character" w:customStyle="1" w:styleId="af8">
    <w:name w:val="Перечисление Знак"/>
    <w:basedOn w:val="a3"/>
    <w:link w:val="a"/>
    <w:rsid w:val="00476D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gorbadm.kalm@yandex.ru</cp:lastModifiedBy>
  <cp:revision>13</cp:revision>
  <cp:lastPrinted>2021-06-03T08:00:00Z</cp:lastPrinted>
  <dcterms:created xsi:type="dcterms:W3CDTF">2021-05-31T06:46:00Z</dcterms:created>
  <dcterms:modified xsi:type="dcterms:W3CDTF">2021-06-24T13:34:00Z</dcterms:modified>
</cp:coreProperties>
</file>